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90E2" w14:textId="6982386C" w:rsidR="00FF25A9" w:rsidRDefault="00E00071">
      <w:r>
        <w:rPr>
          <w:noProof/>
        </w:rPr>
        <mc:AlternateContent>
          <mc:Choice Requires="wps">
            <w:drawing>
              <wp:anchor distT="45720" distB="45720" distL="114300" distR="114300" simplePos="0" relativeHeight="251661312" behindDoc="0" locked="0" layoutInCell="1" allowOverlap="1" wp14:anchorId="5121A877" wp14:editId="43BB73E1">
                <wp:simplePos x="0" y="0"/>
                <wp:positionH relativeFrom="margin">
                  <wp:align>left</wp:align>
                </wp:positionH>
                <wp:positionV relativeFrom="paragraph">
                  <wp:posOffset>1946763</wp:posOffset>
                </wp:positionV>
                <wp:extent cx="6292850" cy="311150"/>
                <wp:effectExtent l="0" t="0" r="1270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11150"/>
                        </a:xfrm>
                        <a:prstGeom prst="rect">
                          <a:avLst/>
                        </a:prstGeom>
                        <a:solidFill>
                          <a:schemeClr val="bg2">
                            <a:lumMod val="50000"/>
                          </a:schemeClr>
                        </a:solidFill>
                        <a:ln w="9525">
                          <a:solidFill>
                            <a:srgbClr val="000000"/>
                          </a:solidFill>
                          <a:miter lim="800000"/>
                          <a:headEnd/>
                          <a:tailEnd/>
                        </a:ln>
                      </wps:spPr>
                      <wps:txbx>
                        <w:txbxContent>
                          <w:p w14:paraId="20AF8372" w14:textId="5DEF1F25" w:rsidR="00E00071" w:rsidRPr="003E6908" w:rsidRDefault="00E00071" w:rsidP="00E00071">
                            <w:pPr>
                              <w:jc w:val="center"/>
                              <w:rPr>
                                <w:rFonts w:ascii="Arial Rounded MT Bold" w:hAnsi="Arial Rounded MT Bold"/>
                                <w:color w:val="FFFFFF" w:themeColor="background1"/>
                                <w:sz w:val="24"/>
                                <w:szCs w:val="24"/>
                              </w:rPr>
                            </w:pPr>
                            <w:r w:rsidRPr="003E6908">
                              <w:rPr>
                                <w:rFonts w:ascii="Arial Rounded MT Bold" w:hAnsi="Arial Rounded MT Bold"/>
                                <w:color w:val="FFFFFF" w:themeColor="background1"/>
                                <w:sz w:val="24"/>
                                <w:szCs w:val="24"/>
                              </w:rPr>
                              <w:t>Services under the</w:t>
                            </w:r>
                            <w:r w:rsidR="0004686D">
                              <w:rPr>
                                <w:rFonts w:ascii="Arial Rounded MT Bold" w:hAnsi="Arial Rounded MT Bold"/>
                                <w:color w:val="FFFFFF" w:themeColor="background1"/>
                                <w:sz w:val="24"/>
                                <w:szCs w:val="24"/>
                              </w:rPr>
                              <w:t xml:space="preserve"> DD</w:t>
                            </w:r>
                            <w:r w:rsidRPr="003E6908">
                              <w:rPr>
                                <w:rFonts w:ascii="Arial Rounded MT Bold" w:hAnsi="Arial Rounded MT Bold"/>
                                <w:color w:val="FFFFFF" w:themeColor="background1"/>
                                <w:sz w:val="24"/>
                                <w:szCs w:val="24"/>
                              </w:rPr>
                              <w:t xml:space="preserve"> Waivers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1A877" id="_x0000_t202" coordsize="21600,21600" o:spt="202" path="m,l,21600r21600,l21600,xe">
                <v:stroke joinstyle="miter"/>
                <v:path gradientshapeok="t" o:connecttype="rect"/>
              </v:shapetype>
              <v:shape id="Text Box 2" o:spid="_x0000_s1026" type="#_x0000_t202" style="position:absolute;margin-left:0;margin-top:153.3pt;width:495.5pt;height:2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" fillcolor="#747070 [1614]">
                <v:textbox>
                  <w:txbxContent>
                    <w:p w14:paraId="20AF8372" w14:textId="5DEF1F25" w:rsidR="00E00071" w:rsidRPr="003E6908" w:rsidRDefault="00E00071" w:rsidP="00E00071">
                      <w:pPr>
                        <w:jc w:val="center"/>
                        <w:rPr>
                          <w:rFonts w:ascii="Arial Rounded MT Bold" w:hAnsi="Arial Rounded MT Bold"/>
                          <w:color w:val="FFFFFF" w:themeColor="background1"/>
                          <w:sz w:val="24"/>
                          <w:szCs w:val="24"/>
                        </w:rPr>
                      </w:pPr>
                      <w:r w:rsidRPr="003E6908">
                        <w:rPr>
                          <w:rFonts w:ascii="Arial Rounded MT Bold" w:hAnsi="Arial Rounded MT Bold"/>
                          <w:color w:val="FFFFFF" w:themeColor="background1"/>
                          <w:sz w:val="24"/>
                          <w:szCs w:val="24"/>
                        </w:rPr>
                        <w:t>Services under the</w:t>
                      </w:r>
                      <w:r w:rsidR="0004686D">
                        <w:rPr>
                          <w:rFonts w:ascii="Arial Rounded MT Bold" w:hAnsi="Arial Rounded MT Bold"/>
                          <w:color w:val="FFFFFF" w:themeColor="background1"/>
                          <w:sz w:val="24"/>
                          <w:szCs w:val="24"/>
                        </w:rPr>
                        <w:t xml:space="preserve"> DD</w:t>
                      </w:r>
                      <w:r w:rsidRPr="003E6908">
                        <w:rPr>
                          <w:rFonts w:ascii="Arial Rounded MT Bold" w:hAnsi="Arial Rounded MT Bold"/>
                          <w:color w:val="FFFFFF" w:themeColor="background1"/>
                          <w:sz w:val="24"/>
                          <w:szCs w:val="24"/>
                        </w:rPr>
                        <w:t xml:space="preserve"> Waivers Overview</w:t>
                      </w:r>
                    </w:p>
                  </w:txbxContent>
                </v:textbox>
                <w10:wrap type="square" anchorx="margin"/>
              </v:shape>
            </w:pict>
          </mc:Fallback>
        </mc:AlternateContent>
      </w:r>
      <w:r>
        <w:rPr>
          <w:noProof/>
        </w:rPr>
        <w:drawing>
          <wp:inline distT="0" distB="0" distL="0" distR="0" wp14:anchorId="64AA6CFE" wp14:editId="6AFE9B26">
            <wp:extent cx="5943600" cy="1793348"/>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stretch>
                      <a:fillRect/>
                    </a:stretch>
                  </pic:blipFill>
                  <pic:spPr>
                    <a:xfrm>
                      <a:off x="0" y="0"/>
                      <a:ext cx="5943600" cy="1793348"/>
                    </a:xfrm>
                    <a:prstGeom prst="rect">
                      <a:avLst/>
                    </a:prstGeom>
                  </pic:spPr>
                </pic:pic>
              </a:graphicData>
            </a:graphic>
          </wp:inline>
        </w:drawing>
      </w:r>
    </w:p>
    <w:p w14:paraId="757D206B" w14:textId="77777777" w:rsidR="00E00071" w:rsidRDefault="00E00071" w:rsidP="00E00071"/>
    <w:tbl>
      <w:tblPr>
        <w:tblStyle w:val="TableGrid"/>
        <w:tblW w:w="9895" w:type="dxa"/>
        <w:tblLook w:val="04A0" w:firstRow="1" w:lastRow="0" w:firstColumn="1" w:lastColumn="0" w:noHBand="0" w:noVBand="1"/>
      </w:tblPr>
      <w:tblGrid>
        <w:gridCol w:w="876"/>
        <w:gridCol w:w="876"/>
        <w:gridCol w:w="876"/>
        <w:gridCol w:w="7267"/>
      </w:tblGrid>
      <w:tr w:rsidR="00E00071" w14:paraId="31973A2A" w14:textId="77777777" w:rsidTr="00CA07D8">
        <w:tc>
          <w:tcPr>
            <w:tcW w:w="876" w:type="dxa"/>
            <w:shd w:val="clear" w:color="auto" w:fill="4472C4" w:themeFill="accent1"/>
          </w:tcPr>
          <w:p w14:paraId="5C519750" w14:textId="77777777" w:rsidR="00E00071" w:rsidRPr="007A430A" w:rsidRDefault="00E00071" w:rsidP="00CA07D8">
            <w:pPr>
              <w:jc w:val="center"/>
              <w:rPr>
                <w:b/>
                <w:bCs/>
                <w:color w:val="FFFFFF" w:themeColor="background1"/>
              </w:rPr>
            </w:pPr>
            <w:r w:rsidRPr="007A430A">
              <w:rPr>
                <w:b/>
                <w:bCs/>
                <w:color w:val="FFFFFF" w:themeColor="background1"/>
              </w:rPr>
              <w:t>BI</w:t>
            </w:r>
          </w:p>
        </w:tc>
        <w:tc>
          <w:tcPr>
            <w:tcW w:w="713" w:type="dxa"/>
            <w:shd w:val="clear" w:color="auto" w:fill="4472C4" w:themeFill="accent1"/>
          </w:tcPr>
          <w:p w14:paraId="4126CE60" w14:textId="77777777" w:rsidR="00E00071" w:rsidRPr="007A430A" w:rsidRDefault="00E00071" w:rsidP="00CA07D8">
            <w:pPr>
              <w:jc w:val="center"/>
              <w:rPr>
                <w:b/>
                <w:bCs/>
                <w:color w:val="FFFFFF" w:themeColor="background1"/>
              </w:rPr>
            </w:pPr>
            <w:r w:rsidRPr="007A430A">
              <w:rPr>
                <w:b/>
                <w:bCs/>
                <w:color w:val="FFFFFF" w:themeColor="background1"/>
              </w:rPr>
              <w:t>FIS</w:t>
            </w:r>
          </w:p>
        </w:tc>
        <w:tc>
          <w:tcPr>
            <w:tcW w:w="713" w:type="dxa"/>
            <w:shd w:val="clear" w:color="auto" w:fill="4472C4" w:themeFill="accent1"/>
          </w:tcPr>
          <w:p w14:paraId="08C80B73" w14:textId="77777777" w:rsidR="00E00071" w:rsidRPr="007A430A" w:rsidRDefault="00E00071" w:rsidP="00CA07D8">
            <w:pPr>
              <w:jc w:val="center"/>
              <w:rPr>
                <w:b/>
                <w:bCs/>
                <w:color w:val="FFFFFF" w:themeColor="background1"/>
              </w:rPr>
            </w:pPr>
            <w:r w:rsidRPr="007A430A">
              <w:rPr>
                <w:b/>
                <w:bCs/>
                <w:color w:val="FFFFFF" w:themeColor="background1"/>
              </w:rPr>
              <w:t>CL</w:t>
            </w:r>
          </w:p>
        </w:tc>
        <w:tc>
          <w:tcPr>
            <w:tcW w:w="7593" w:type="dxa"/>
            <w:shd w:val="clear" w:color="auto" w:fill="4472C4" w:themeFill="accent1"/>
          </w:tcPr>
          <w:p w14:paraId="7D6BF4B2" w14:textId="77777777" w:rsidR="00E00071" w:rsidRPr="007A430A" w:rsidRDefault="00E00071" w:rsidP="00CA07D8">
            <w:pPr>
              <w:jc w:val="center"/>
              <w:rPr>
                <w:b/>
                <w:bCs/>
                <w:color w:val="FFFFFF" w:themeColor="background1"/>
              </w:rPr>
            </w:pPr>
            <w:r w:rsidRPr="007A430A">
              <w:rPr>
                <w:b/>
                <w:bCs/>
                <w:color w:val="FFFFFF" w:themeColor="background1"/>
              </w:rPr>
              <w:t>Residential Services</w:t>
            </w:r>
          </w:p>
        </w:tc>
      </w:tr>
      <w:tr w:rsidR="00E00071" w14:paraId="09AFA9E1" w14:textId="77777777" w:rsidTr="00CA07D8">
        <w:tc>
          <w:tcPr>
            <w:tcW w:w="876" w:type="dxa"/>
          </w:tcPr>
          <w:p w14:paraId="119F2D82" w14:textId="77777777" w:rsidR="00E00071" w:rsidRPr="006275A6" w:rsidRDefault="00E00071" w:rsidP="00CA07D8">
            <w:r>
              <w:rPr>
                <w:noProof/>
              </w:rPr>
              <w:drawing>
                <wp:inline distT="0" distB="0" distL="0" distR="0" wp14:anchorId="72FF7DE5" wp14:editId="4E8DBAFE">
                  <wp:extent cx="412750" cy="412750"/>
                  <wp:effectExtent l="0" t="0" r="6350" b="0"/>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13" w:type="dxa"/>
          </w:tcPr>
          <w:p w14:paraId="22A19C4F" w14:textId="77777777" w:rsidR="00E00071" w:rsidRPr="006275A6" w:rsidRDefault="00E00071" w:rsidP="00CA07D8"/>
        </w:tc>
        <w:tc>
          <w:tcPr>
            <w:tcW w:w="713" w:type="dxa"/>
          </w:tcPr>
          <w:p w14:paraId="2CF65280" w14:textId="77777777" w:rsidR="00E00071" w:rsidRPr="006275A6" w:rsidRDefault="00E00071" w:rsidP="00CA07D8"/>
        </w:tc>
        <w:tc>
          <w:tcPr>
            <w:tcW w:w="7593" w:type="dxa"/>
          </w:tcPr>
          <w:p w14:paraId="00C7BD23" w14:textId="77777777" w:rsidR="00E00071" w:rsidRPr="006275A6" w:rsidRDefault="00E00071" w:rsidP="00CA07D8">
            <w:r w:rsidRPr="006275A6">
              <w:rPr>
                <w:b/>
                <w:bCs/>
              </w:rPr>
              <w:t>Independent Living Supports</w:t>
            </w:r>
            <w:r>
              <w:t xml:space="preserve"> are provided to adults (18 and older) and offer skill building and support to secure a self-sustaining, independent living situation in the community and/or may provide the support necessary to maintain those skills.</w:t>
            </w:r>
          </w:p>
        </w:tc>
      </w:tr>
      <w:tr w:rsidR="00E00071" w14:paraId="5FC07E38" w14:textId="77777777" w:rsidTr="00CA07D8">
        <w:tc>
          <w:tcPr>
            <w:tcW w:w="876" w:type="dxa"/>
          </w:tcPr>
          <w:p w14:paraId="3314DF21" w14:textId="77777777" w:rsidR="00E00071" w:rsidRPr="006275A6" w:rsidRDefault="00E00071" w:rsidP="00CA07D8"/>
        </w:tc>
        <w:tc>
          <w:tcPr>
            <w:tcW w:w="713" w:type="dxa"/>
          </w:tcPr>
          <w:p w14:paraId="42C0B16B" w14:textId="77777777" w:rsidR="00E00071" w:rsidRPr="006275A6" w:rsidRDefault="00E00071" w:rsidP="00CA07D8">
            <w:r>
              <w:rPr>
                <w:noProof/>
              </w:rPr>
              <w:drawing>
                <wp:inline distT="0" distB="0" distL="0" distR="0" wp14:anchorId="2E4B8568" wp14:editId="2249A62C">
                  <wp:extent cx="412750" cy="412750"/>
                  <wp:effectExtent l="0" t="0" r="6350" b="0"/>
                  <wp:docPr id="24" name="Graphic 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13" w:type="dxa"/>
          </w:tcPr>
          <w:p w14:paraId="75632F72" w14:textId="77777777" w:rsidR="00E00071" w:rsidRPr="006275A6" w:rsidRDefault="00E00071" w:rsidP="00CA07D8">
            <w:r>
              <w:rPr>
                <w:noProof/>
              </w:rPr>
              <w:drawing>
                <wp:inline distT="0" distB="0" distL="0" distR="0" wp14:anchorId="7E78B315" wp14:editId="777B294E">
                  <wp:extent cx="412750" cy="412750"/>
                  <wp:effectExtent l="0" t="0" r="6350" b="0"/>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593" w:type="dxa"/>
          </w:tcPr>
          <w:p w14:paraId="79201B33" w14:textId="77777777" w:rsidR="00E00071" w:rsidRPr="006275A6" w:rsidRDefault="00E00071" w:rsidP="00CA07D8">
            <w:r w:rsidRPr="006275A6">
              <w:rPr>
                <w:b/>
                <w:bCs/>
              </w:rPr>
              <w:t>In-Home Supports</w:t>
            </w:r>
            <w:r>
              <w:t xml:space="preserve"> take place in the person’s and/or family’s home or community settings. Services are designed to ensure the health, safety and welfare of the person and expand daily living skills</w:t>
            </w:r>
          </w:p>
        </w:tc>
      </w:tr>
      <w:tr w:rsidR="00E00071" w14:paraId="76B8AF53" w14:textId="77777777" w:rsidTr="00CA07D8">
        <w:tc>
          <w:tcPr>
            <w:tcW w:w="876" w:type="dxa"/>
          </w:tcPr>
          <w:p w14:paraId="76B70C92" w14:textId="77777777" w:rsidR="00E00071" w:rsidRPr="006275A6" w:rsidRDefault="00E00071" w:rsidP="00CA07D8"/>
        </w:tc>
        <w:tc>
          <w:tcPr>
            <w:tcW w:w="713" w:type="dxa"/>
          </w:tcPr>
          <w:p w14:paraId="676A4242" w14:textId="77777777" w:rsidR="00E00071" w:rsidRPr="006275A6" w:rsidRDefault="00E00071" w:rsidP="00CA07D8"/>
        </w:tc>
        <w:tc>
          <w:tcPr>
            <w:tcW w:w="713" w:type="dxa"/>
          </w:tcPr>
          <w:p w14:paraId="727CDCAD" w14:textId="77777777" w:rsidR="00E00071" w:rsidRPr="006275A6" w:rsidRDefault="00E00071" w:rsidP="00CA07D8">
            <w:r>
              <w:rPr>
                <w:noProof/>
              </w:rPr>
              <w:drawing>
                <wp:inline distT="0" distB="0" distL="0" distR="0" wp14:anchorId="4AEC9F21" wp14:editId="72A19053">
                  <wp:extent cx="412750" cy="412750"/>
                  <wp:effectExtent l="0" t="0" r="6350" b="0"/>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593" w:type="dxa"/>
          </w:tcPr>
          <w:p w14:paraId="3B2ADEF8" w14:textId="77777777" w:rsidR="00E00071" w:rsidRPr="006275A6" w:rsidRDefault="00E00071" w:rsidP="00CA07D8">
            <w:r w:rsidRPr="006275A6">
              <w:rPr>
                <w:b/>
                <w:bCs/>
              </w:rPr>
              <w:t>Group Home Residential</w:t>
            </w:r>
            <w:r>
              <w:rPr>
                <w:b/>
                <w:bCs/>
              </w:rPr>
              <w:t xml:space="preserve"> Services</w:t>
            </w:r>
            <w:r>
              <w:t xml:space="preserve"> are provided in a DBHDS licensed home with staff available 24 hours per day to provide a skill building component, along with the provision of general health and safety supports, as needed.</w:t>
            </w:r>
          </w:p>
        </w:tc>
      </w:tr>
      <w:tr w:rsidR="00E00071" w14:paraId="75EA3CEF" w14:textId="77777777" w:rsidTr="00CA07D8">
        <w:tc>
          <w:tcPr>
            <w:tcW w:w="876" w:type="dxa"/>
          </w:tcPr>
          <w:p w14:paraId="262AFE30" w14:textId="77777777" w:rsidR="00E00071" w:rsidRPr="006275A6" w:rsidRDefault="00E00071" w:rsidP="00CA07D8"/>
        </w:tc>
        <w:tc>
          <w:tcPr>
            <w:tcW w:w="713" w:type="dxa"/>
          </w:tcPr>
          <w:p w14:paraId="5A6634CD" w14:textId="77777777" w:rsidR="00E00071" w:rsidRPr="006275A6" w:rsidRDefault="00E00071" w:rsidP="00CA07D8">
            <w:r>
              <w:rPr>
                <w:noProof/>
              </w:rPr>
              <w:drawing>
                <wp:inline distT="0" distB="0" distL="0" distR="0" wp14:anchorId="3B2AAA1A" wp14:editId="6ECC7B4A">
                  <wp:extent cx="412750" cy="412750"/>
                  <wp:effectExtent l="0" t="0" r="6350" b="0"/>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13" w:type="dxa"/>
          </w:tcPr>
          <w:p w14:paraId="1E04939C" w14:textId="77777777" w:rsidR="00E00071" w:rsidRPr="006275A6" w:rsidRDefault="00E00071" w:rsidP="00CA07D8">
            <w:r>
              <w:rPr>
                <w:noProof/>
              </w:rPr>
              <w:drawing>
                <wp:inline distT="0" distB="0" distL="0" distR="0" wp14:anchorId="35A2A98A" wp14:editId="3C4EDD16">
                  <wp:extent cx="412750" cy="412750"/>
                  <wp:effectExtent l="0" t="0" r="6350" b="0"/>
                  <wp:docPr id="31" name="Graphic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593" w:type="dxa"/>
          </w:tcPr>
          <w:p w14:paraId="309F9A2B" w14:textId="77777777" w:rsidR="00E00071" w:rsidRPr="006275A6" w:rsidRDefault="00E00071" w:rsidP="00CA07D8">
            <w:r w:rsidRPr="006275A6">
              <w:rPr>
                <w:b/>
                <w:bCs/>
              </w:rPr>
              <w:t>Supported Living</w:t>
            </w:r>
            <w:r>
              <w:t xml:space="preserve"> takes place in an apartment setting operated by a DBHDS licensed provider and provides 24/7 around the clock availability of staff support performed by paid staff who have the ability respond in a timely manner. May be provided individually or at the same time to more than one individual living in the home, depending on the required support.</w:t>
            </w:r>
          </w:p>
        </w:tc>
      </w:tr>
      <w:tr w:rsidR="00E00071" w14:paraId="5113BED8" w14:textId="77777777" w:rsidTr="00CA07D8">
        <w:tc>
          <w:tcPr>
            <w:tcW w:w="876" w:type="dxa"/>
          </w:tcPr>
          <w:p w14:paraId="36308A72" w14:textId="77777777" w:rsidR="00E00071" w:rsidRPr="006275A6" w:rsidRDefault="00E00071" w:rsidP="00CA07D8"/>
        </w:tc>
        <w:tc>
          <w:tcPr>
            <w:tcW w:w="713" w:type="dxa"/>
          </w:tcPr>
          <w:p w14:paraId="7F3C075C" w14:textId="77777777" w:rsidR="00E00071" w:rsidRPr="006275A6" w:rsidRDefault="00E00071" w:rsidP="00CA07D8"/>
        </w:tc>
        <w:tc>
          <w:tcPr>
            <w:tcW w:w="713" w:type="dxa"/>
          </w:tcPr>
          <w:p w14:paraId="3CF34D5B" w14:textId="77777777" w:rsidR="00E00071" w:rsidRPr="006275A6" w:rsidRDefault="00E00071" w:rsidP="00CA07D8">
            <w:r>
              <w:rPr>
                <w:noProof/>
              </w:rPr>
              <w:drawing>
                <wp:inline distT="0" distB="0" distL="0" distR="0" wp14:anchorId="3884798C" wp14:editId="4D37C08F">
                  <wp:extent cx="412750" cy="412750"/>
                  <wp:effectExtent l="0" t="0" r="6350" b="0"/>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593" w:type="dxa"/>
          </w:tcPr>
          <w:p w14:paraId="5CEB7C7D" w14:textId="77777777" w:rsidR="00E00071" w:rsidRPr="006275A6" w:rsidRDefault="00E00071" w:rsidP="00CA07D8">
            <w:r w:rsidRPr="006275A6">
              <w:rPr>
                <w:b/>
                <w:bCs/>
              </w:rPr>
              <w:t>Sponsored Residential</w:t>
            </w:r>
            <w:r>
              <w:t xml:space="preserve"> take place in a DBHDS licensed family home where the homeowners are the paid caregivers (“sponsors”) who provide support as necessary so that the person can reside successfully in the home and community.</w:t>
            </w:r>
          </w:p>
        </w:tc>
      </w:tr>
      <w:tr w:rsidR="00E00071" w14:paraId="663C794C" w14:textId="77777777" w:rsidTr="00CA07D8">
        <w:tc>
          <w:tcPr>
            <w:tcW w:w="876" w:type="dxa"/>
          </w:tcPr>
          <w:p w14:paraId="7D8D52D6" w14:textId="77777777" w:rsidR="00E00071" w:rsidRPr="006275A6" w:rsidRDefault="00E00071" w:rsidP="00CA07D8">
            <w:r>
              <w:rPr>
                <w:noProof/>
              </w:rPr>
              <w:drawing>
                <wp:inline distT="0" distB="0" distL="0" distR="0" wp14:anchorId="6EE2F979" wp14:editId="14899AC2">
                  <wp:extent cx="412750" cy="412750"/>
                  <wp:effectExtent l="0" t="0" r="6350" b="0"/>
                  <wp:docPr id="3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13" w:type="dxa"/>
          </w:tcPr>
          <w:p w14:paraId="31AFCAF0" w14:textId="77777777" w:rsidR="00E00071" w:rsidRPr="006275A6" w:rsidRDefault="00E00071" w:rsidP="00CA07D8">
            <w:r>
              <w:rPr>
                <w:noProof/>
              </w:rPr>
              <w:drawing>
                <wp:inline distT="0" distB="0" distL="0" distR="0" wp14:anchorId="7E02CB6E" wp14:editId="4C433BB0">
                  <wp:extent cx="412750" cy="412750"/>
                  <wp:effectExtent l="0" t="0" r="6350" b="0"/>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13" w:type="dxa"/>
          </w:tcPr>
          <w:p w14:paraId="400921F1" w14:textId="77777777" w:rsidR="00E00071" w:rsidRPr="006275A6" w:rsidRDefault="00E00071" w:rsidP="00CA07D8">
            <w:r>
              <w:rPr>
                <w:noProof/>
              </w:rPr>
              <w:drawing>
                <wp:inline distT="0" distB="0" distL="0" distR="0" wp14:anchorId="4A55AB2D" wp14:editId="5394A7D3">
                  <wp:extent cx="412750" cy="412750"/>
                  <wp:effectExtent l="0" t="0" r="6350" b="0"/>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593" w:type="dxa"/>
          </w:tcPr>
          <w:p w14:paraId="396802B4" w14:textId="77777777" w:rsidR="00E00071" w:rsidRPr="006275A6" w:rsidRDefault="00E00071" w:rsidP="00CA07D8">
            <w:r w:rsidRPr="00D35BA3">
              <w:rPr>
                <w:b/>
                <w:bCs/>
              </w:rPr>
              <w:t>Shared Living</w:t>
            </w:r>
            <w:r>
              <w:t xml:space="preserve"> is support to a person who resides in his/her own home/apartment in the community provided by a roommate of the person’s choosing. The individual receives a Medicaid reimbursement for the roommate’s portion of the total cost of rent, food, and utilities in exchange for the roommate providing minimal supports.</w:t>
            </w:r>
          </w:p>
        </w:tc>
      </w:tr>
    </w:tbl>
    <w:p w14:paraId="39064482" w14:textId="77777777" w:rsidR="00E00071" w:rsidRDefault="00E00071" w:rsidP="00E00071">
      <w:r>
        <w:tab/>
      </w:r>
      <w:r>
        <w:tab/>
      </w:r>
      <w:r>
        <w:tab/>
      </w:r>
    </w:p>
    <w:tbl>
      <w:tblPr>
        <w:tblStyle w:val="TableGrid"/>
        <w:tblW w:w="9895" w:type="dxa"/>
        <w:tblLook w:val="04A0" w:firstRow="1" w:lastRow="0" w:firstColumn="1" w:lastColumn="0" w:noHBand="0" w:noVBand="1"/>
      </w:tblPr>
      <w:tblGrid>
        <w:gridCol w:w="876"/>
        <w:gridCol w:w="876"/>
        <w:gridCol w:w="876"/>
        <w:gridCol w:w="7267"/>
      </w:tblGrid>
      <w:tr w:rsidR="00E00071" w14:paraId="5A9419EC" w14:textId="77777777" w:rsidTr="00CA07D8">
        <w:tc>
          <w:tcPr>
            <w:tcW w:w="876" w:type="dxa"/>
            <w:shd w:val="clear" w:color="auto" w:fill="4472C4" w:themeFill="accent1"/>
          </w:tcPr>
          <w:p w14:paraId="407EF848" w14:textId="77777777" w:rsidR="00E00071" w:rsidRPr="007A430A" w:rsidRDefault="00E00071" w:rsidP="00CA07D8">
            <w:pPr>
              <w:jc w:val="center"/>
              <w:rPr>
                <w:b/>
                <w:bCs/>
                <w:color w:val="FFFFFF" w:themeColor="background1"/>
              </w:rPr>
            </w:pPr>
            <w:bookmarkStart w:id="0" w:name="_Hlk124430263"/>
            <w:r w:rsidRPr="007A430A">
              <w:rPr>
                <w:b/>
                <w:bCs/>
                <w:color w:val="FFFFFF" w:themeColor="background1"/>
              </w:rPr>
              <w:t>BI</w:t>
            </w:r>
          </w:p>
        </w:tc>
        <w:tc>
          <w:tcPr>
            <w:tcW w:w="876" w:type="dxa"/>
            <w:shd w:val="clear" w:color="auto" w:fill="4472C4" w:themeFill="accent1"/>
          </w:tcPr>
          <w:p w14:paraId="6207BFD1" w14:textId="77777777" w:rsidR="00E00071" w:rsidRPr="007A430A" w:rsidRDefault="00E00071" w:rsidP="00CA07D8">
            <w:pPr>
              <w:jc w:val="center"/>
              <w:rPr>
                <w:b/>
                <w:bCs/>
                <w:color w:val="FFFFFF" w:themeColor="background1"/>
              </w:rPr>
            </w:pPr>
            <w:r w:rsidRPr="007A430A">
              <w:rPr>
                <w:b/>
                <w:bCs/>
                <w:color w:val="FFFFFF" w:themeColor="background1"/>
              </w:rPr>
              <w:t>FIS</w:t>
            </w:r>
          </w:p>
        </w:tc>
        <w:tc>
          <w:tcPr>
            <w:tcW w:w="876" w:type="dxa"/>
            <w:shd w:val="clear" w:color="auto" w:fill="4472C4" w:themeFill="accent1"/>
          </w:tcPr>
          <w:p w14:paraId="5E5690B6" w14:textId="77777777" w:rsidR="00E00071" w:rsidRPr="007A430A" w:rsidRDefault="00E00071" w:rsidP="00CA07D8">
            <w:pPr>
              <w:jc w:val="center"/>
              <w:rPr>
                <w:b/>
                <w:bCs/>
                <w:color w:val="FFFFFF" w:themeColor="background1"/>
              </w:rPr>
            </w:pPr>
            <w:r w:rsidRPr="007A430A">
              <w:rPr>
                <w:b/>
                <w:bCs/>
                <w:color w:val="FFFFFF" w:themeColor="background1"/>
              </w:rPr>
              <w:t>CL</w:t>
            </w:r>
          </w:p>
        </w:tc>
        <w:tc>
          <w:tcPr>
            <w:tcW w:w="7267" w:type="dxa"/>
            <w:shd w:val="clear" w:color="auto" w:fill="4472C4" w:themeFill="accent1"/>
          </w:tcPr>
          <w:p w14:paraId="39FA8383" w14:textId="77777777" w:rsidR="00E00071" w:rsidRPr="007A430A" w:rsidRDefault="00E00071" w:rsidP="00CA07D8">
            <w:pPr>
              <w:jc w:val="center"/>
              <w:rPr>
                <w:b/>
                <w:bCs/>
                <w:color w:val="FFFFFF" w:themeColor="background1"/>
              </w:rPr>
            </w:pPr>
            <w:r w:rsidRPr="007A430A">
              <w:rPr>
                <w:b/>
                <w:bCs/>
                <w:color w:val="FFFFFF" w:themeColor="background1"/>
              </w:rPr>
              <w:t>Crisis Services</w:t>
            </w:r>
          </w:p>
        </w:tc>
      </w:tr>
      <w:bookmarkEnd w:id="0"/>
      <w:tr w:rsidR="00E00071" w:rsidRPr="006275A6" w14:paraId="20F65961" w14:textId="77777777" w:rsidTr="00CA07D8">
        <w:tc>
          <w:tcPr>
            <w:tcW w:w="876" w:type="dxa"/>
          </w:tcPr>
          <w:p w14:paraId="7EB34AB2" w14:textId="77777777" w:rsidR="00E00071" w:rsidRPr="006275A6" w:rsidRDefault="00E00071" w:rsidP="00CA07D8">
            <w:r>
              <w:rPr>
                <w:noProof/>
              </w:rPr>
              <w:drawing>
                <wp:inline distT="0" distB="0" distL="0" distR="0" wp14:anchorId="08F738A0" wp14:editId="0F4405FB">
                  <wp:extent cx="412750" cy="412750"/>
                  <wp:effectExtent l="0" t="0" r="6350" b="0"/>
                  <wp:docPr id="37"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3F45984F" w14:textId="77777777" w:rsidR="00E00071" w:rsidRPr="006275A6" w:rsidRDefault="00E00071" w:rsidP="00CA07D8">
            <w:r>
              <w:rPr>
                <w:noProof/>
              </w:rPr>
              <w:drawing>
                <wp:inline distT="0" distB="0" distL="0" distR="0" wp14:anchorId="3FA615F9" wp14:editId="61A5B63D">
                  <wp:extent cx="412750" cy="412750"/>
                  <wp:effectExtent l="0" t="0" r="6350" b="0"/>
                  <wp:docPr id="47" name="Graphic 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6BF0DC19" w14:textId="77777777" w:rsidR="00E00071" w:rsidRPr="006275A6" w:rsidRDefault="00E00071" w:rsidP="00CA07D8">
            <w:r>
              <w:rPr>
                <w:noProof/>
              </w:rPr>
              <w:drawing>
                <wp:inline distT="0" distB="0" distL="0" distR="0" wp14:anchorId="2D4D38A0" wp14:editId="06820C46">
                  <wp:extent cx="412750" cy="412750"/>
                  <wp:effectExtent l="0" t="0" r="6350" b="0"/>
                  <wp:docPr id="48" name="Graphic 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12389D47" w14:textId="77777777" w:rsidR="00E00071" w:rsidRPr="006275A6" w:rsidRDefault="00E00071" w:rsidP="00CA07D8">
            <w:r w:rsidRPr="00D35BA3">
              <w:rPr>
                <w:b/>
                <w:bCs/>
              </w:rPr>
              <w:t>Center-based Crisis</w:t>
            </w:r>
            <w:r>
              <w:rPr>
                <w:b/>
                <w:bCs/>
              </w:rPr>
              <w:t xml:space="preserve"> Supports</w:t>
            </w:r>
            <w:r>
              <w:t xml:space="preserve"> provide long-term crisis prevention and stabilization in a residential setting (Crisis Therapeutic Home) through planned and emergency admissions.</w:t>
            </w:r>
          </w:p>
        </w:tc>
      </w:tr>
      <w:tr w:rsidR="00E00071" w:rsidRPr="006275A6" w14:paraId="3F4BB57E" w14:textId="77777777" w:rsidTr="00CA07D8">
        <w:tc>
          <w:tcPr>
            <w:tcW w:w="876" w:type="dxa"/>
          </w:tcPr>
          <w:p w14:paraId="25CF94A3" w14:textId="77777777" w:rsidR="00E00071" w:rsidRPr="006275A6" w:rsidRDefault="00E00071" w:rsidP="00CA07D8">
            <w:r>
              <w:rPr>
                <w:noProof/>
              </w:rPr>
              <w:lastRenderedPageBreak/>
              <w:drawing>
                <wp:inline distT="0" distB="0" distL="0" distR="0" wp14:anchorId="461D8B1B" wp14:editId="766E750E">
                  <wp:extent cx="412750" cy="412750"/>
                  <wp:effectExtent l="0" t="0" r="6350" b="0"/>
                  <wp:docPr id="49" name="Graphic 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2786061C" w14:textId="77777777" w:rsidR="00E00071" w:rsidRPr="006275A6" w:rsidRDefault="00E00071" w:rsidP="00CA07D8">
            <w:r>
              <w:rPr>
                <w:noProof/>
              </w:rPr>
              <w:drawing>
                <wp:inline distT="0" distB="0" distL="0" distR="0" wp14:anchorId="068D89A8" wp14:editId="7EE6B756">
                  <wp:extent cx="412750" cy="412750"/>
                  <wp:effectExtent l="0" t="0" r="6350" b="0"/>
                  <wp:docPr id="38" name="Graphic 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5BA5324B" w14:textId="77777777" w:rsidR="00E00071" w:rsidRPr="006275A6" w:rsidRDefault="00E00071" w:rsidP="00CA07D8">
            <w:r>
              <w:rPr>
                <w:noProof/>
              </w:rPr>
              <w:drawing>
                <wp:inline distT="0" distB="0" distL="0" distR="0" wp14:anchorId="74145F1E" wp14:editId="4C91EBEC">
                  <wp:extent cx="412750" cy="412750"/>
                  <wp:effectExtent l="0" t="0" r="6350" b="0"/>
                  <wp:docPr id="39"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6B874414" w14:textId="77777777" w:rsidR="00E00071" w:rsidRPr="006275A6" w:rsidRDefault="00E00071" w:rsidP="00CA07D8">
            <w:r w:rsidRPr="00D35BA3">
              <w:rPr>
                <w:b/>
                <w:bCs/>
              </w:rPr>
              <w:t>Community-</w:t>
            </w:r>
            <w:r>
              <w:rPr>
                <w:b/>
                <w:bCs/>
              </w:rPr>
              <w:t>B</w:t>
            </w:r>
            <w:r w:rsidRPr="00D35BA3">
              <w:rPr>
                <w:b/>
                <w:bCs/>
              </w:rPr>
              <w:t>ased Crisis</w:t>
            </w:r>
            <w:r>
              <w:rPr>
                <w:b/>
                <w:bCs/>
              </w:rPr>
              <w:t xml:space="preserve"> Supports</w:t>
            </w:r>
            <w:r>
              <w:t xml:space="preserve"> provided in the person’s home and community setting. Crisis staff work directly with and assist the person and his/her current support provider or family. These services provide temporary intensive supports to emergency psychiatric hospitalization, institutional placement or prevent </w:t>
            </w:r>
            <w:proofErr w:type="gramStart"/>
            <w:r>
              <w:t>other</w:t>
            </w:r>
            <w:proofErr w:type="gramEnd"/>
            <w:r>
              <w:t xml:space="preserve"> out-of-home placement.</w:t>
            </w:r>
          </w:p>
        </w:tc>
      </w:tr>
      <w:tr w:rsidR="00E00071" w:rsidRPr="006275A6" w14:paraId="31D7F850" w14:textId="77777777" w:rsidTr="00CA07D8">
        <w:tc>
          <w:tcPr>
            <w:tcW w:w="876" w:type="dxa"/>
          </w:tcPr>
          <w:p w14:paraId="567E70EC" w14:textId="77777777" w:rsidR="00E00071" w:rsidRPr="006275A6" w:rsidRDefault="00E00071" w:rsidP="00CA07D8">
            <w:r>
              <w:rPr>
                <w:noProof/>
              </w:rPr>
              <w:drawing>
                <wp:inline distT="0" distB="0" distL="0" distR="0" wp14:anchorId="1514977A" wp14:editId="5203D586">
                  <wp:extent cx="412750" cy="412750"/>
                  <wp:effectExtent l="0" t="0" r="6350" b="0"/>
                  <wp:docPr id="50" name="Graphic 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4BBEF8E2" w14:textId="77777777" w:rsidR="00E00071" w:rsidRPr="006275A6" w:rsidRDefault="00E00071" w:rsidP="00CA07D8">
            <w:r>
              <w:rPr>
                <w:noProof/>
              </w:rPr>
              <w:drawing>
                <wp:inline distT="0" distB="0" distL="0" distR="0" wp14:anchorId="782343FA" wp14:editId="7BF3C6E7">
                  <wp:extent cx="412750" cy="412750"/>
                  <wp:effectExtent l="0" t="0" r="6350" b="0"/>
                  <wp:docPr id="51" name="Graphic 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785EC632" w14:textId="77777777" w:rsidR="00E00071" w:rsidRPr="006275A6" w:rsidRDefault="00E00071" w:rsidP="00CA07D8">
            <w:r>
              <w:rPr>
                <w:noProof/>
              </w:rPr>
              <w:drawing>
                <wp:inline distT="0" distB="0" distL="0" distR="0" wp14:anchorId="52227A23" wp14:editId="0FB4720D">
                  <wp:extent cx="412750" cy="412750"/>
                  <wp:effectExtent l="0" t="0" r="6350" b="0"/>
                  <wp:docPr id="40" name="Graphic 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66E67308" w14:textId="77777777" w:rsidR="00E00071" w:rsidRPr="006275A6" w:rsidRDefault="00E00071" w:rsidP="00CA07D8">
            <w:r w:rsidRPr="00D35BA3">
              <w:rPr>
                <w:b/>
                <w:bCs/>
              </w:rPr>
              <w:t>Crisis support Services</w:t>
            </w:r>
            <w:r>
              <w:t xml:space="preserve"> provide intensive supports to stabilize the person who may experience an episodic behavioral or psychiatric crisis in the community which has the potential to jeopardize his/her current community living situation.</w:t>
            </w:r>
          </w:p>
        </w:tc>
      </w:tr>
    </w:tbl>
    <w:p w14:paraId="455DD8F3" w14:textId="77777777" w:rsidR="00E00071" w:rsidRDefault="00E00071" w:rsidP="00E00071">
      <w:pPr>
        <w:jc w:val="center"/>
      </w:pPr>
    </w:p>
    <w:p w14:paraId="30B77948" w14:textId="77777777" w:rsidR="00E00071" w:rsidRDefault="00E00071" w:rsidP="00CD13DB">
      <w:pPr>
        <w:spacing w:after="0" w:line="240" w:lineRule="auto"/>
      </w:pPr>
    </w:p>
    <w:tbl>
      <w:tblPr>
        <w:tblStyle w:val="TableGrid"/>
        <w:tblW w:w="9895" w:type="dxa"/>
        <w:tblLook w:val="04A0" w:firstRow="1" w:lastRow="0" w:firstColumn="1" w:lastColumn="0" w:noHBand="0" w:noVBand="1"/>
      </w:tblPr>
      <w:tblGrid>
        <w:gridCol w:w="876"/>
        <w:gridCol w:w="876"/>
        <w:gridCol w:w="876"/>
        <w:gridCol w:w="7267"/>
      </w:tblGrid>
      <w:tr w:rsidR="00E00071" w:rsidRPr="00D35BA3" w14:paraId="10F004C2" w14:textId="77777777" w:rsidTr="00CA07D8">
        <w:tc>
          <w:tcPr>
            <w:tcW w:w="876" w:type="dxa"/>
            <w:shd w:val="clear" w:color="auto" w:fill="4472C4" w:themeFill="accent1"/>
          </w:tcPr>
          <w:p w14:paraId="09B492B4" w14:textId="77777777" w:rsidR="00E00071" w:rsidRPr="007A430A" w:rsidRDefault="00E00071" w:rsidP="00CA07D8">
            <w:pPr>
              <w:jc w:val="center"/>
              <w:rPr>
                <w:b/>
                <w:bCs/>
                <w:color w:val="FFFFFF" w:themeColor="background1"/>
              </w:rPr>
            </w:pPr>
            <w:r w:rsidRPr="007A430A">
              <w:rPr>
                <w:b/>
                <w:bCs/>
                <w:color w:val="FFFFFF" w:themeColor="background1"/>
              </w:rPr>
              <w:t>BI</w:t>
            </w:r>
          </w:p>
        </w:tc>
        <w:tc>
          <w:tcPr>
            <w:tcW w:w="876" w:type="dxa"/>
            <w:shd w:val="clear" w:color="auto" w:fill="4472C4" w:themeFill="accent1"/>
          </w:tcPr>
          <w:p w14:paraId="6F6CCB2B" w14:textId="77777777" w:rsidR="00E00071" w:rsidRPr="007A430A" w:rsidRDefault="00E00071" w:rsidP="00CA07D8">
            <w:pPr>
              <w:jc w:val="center"/>
              <w:rPr>
                <w:b/>
                <w:bCs/>
                <w:color w:val="FFFFFF" w:themeColor="background1"/>
              </w:rPr>
            </w:pPr>
            <w:r w:rsidRPr="007A430A">
              <w:rPr>
                <w:b/>
                <w:bCs/>
                <w:color w:val="FFFFFF" w:themeColor="background1"/>
              </w:rPr>
              <w:t>FIS</w:t>
            </w:r>
          </w:p>
        </w:tc>
        <w:tc>
          <w:tcPr>
            <w:tcW w:w="876" w:type="dxa"/>
            <w:shd w:val="clear" w:color="auto" w:fill="4472C4" w:themeFill="accent1"/>
          </w:tcPr>
          <w:p w14:paraId="3BBB3146" w14:textId="77777777" w:rsidR="00E00071" w:rsidRPr="007A430A" w:rsidRDefault="00E00071" w:rsidP="00CA07D8">
            <w:pPr>
              <w:jc w:val="center"/>
              <w:rPr>
                <w:b/>
                <w:bCs/>
                <w:color w:val="FFFFFF" w:themeColor="background1"/>
              </w:rPr>
            </w:pPr>
            <w:r w:rsidRPr="007A430A">
              <w:rPr>
                <w:b/>
                <w:bCs/>
                <w:color w:val="FFFFFF" w:themeColor="background1"/>
              </w:rPr>
              <w:t>CL</w:t>
            </w:r>
          </w:p>
        </w:tc>
        <w:tc>
          <w:tcPr>
            <w:tcW w:w="7267" w:type="dxa"/>
            <w:shd w:val="clear" w:color="auto" w:fill="4472C4" w:themeFill="accent1"/>
          </w:tcPr>
          <w:p w14:paraId="175E1FA0" w14:textId="77777777" w:rsidR="00E00071" w:rsidRPr="007A430A" w:rsidRDefault="00E00071" w:rsidP="00CA07D8">
            <w:pPr>
              <w:tabs>
                <w:tab w:val="center" w:pos="3525"/>
                <w:tab w:val="left" w:pos="5680"/>
              </w:tabs>
              <w:rPr>
                <w:b/>
                <w:bCs/>
                <w:color w:val="FFFFFF" w:themeColor="background1"/>
              </w:rPr>
            </w:pPr>
            <w:r w:rsidRPr="007A430A">
              <w:rPr>
                <w:b/>
                <w:bCs/>
                <w:color w:val="FFFFFF" w:themeColor="background1"/>
              </w:rPr>
              <w:tab/>
              <w:t>Employment and Day Services</w:t>
            </w:r>
            <w:r w:rsidRPr="007A430A">
              <w:rPr>
                <w:b/>
                <w:bCs/>
                <w:color w:val="FFFFFF" w:themeColor="background1"/>
              </w:rPr>
              <w:tab/>
            </w:r>
          </w:p>
        </w:tc>
      </w:tr>
      <w:tr w:rsidR="00E00071" w:rsidRPr="006275A6" w14:paraId="764F1968" w14:textId="77777777" w:rsidTr="00CA07D8">
        <w:tc>
          <w:tcPr>
            <w:tcW w:w="876" w:type="dxa"/>
          </w:tcPr>
          <w:p w14:paraId="62F352D4" w14:textId="77777777" w:rsidR="00E00071" w:rsidRPr="006275A6" w:rsidRDefault="00E00071" w:rsidP="00CA07D8">
            <w:r>
              <w:rPr>
                <w:noProof/>
              </w:rPr>
              <w:drawing>
                <wp:inline distT="0" distB="0" distL="0" distR="0" wp14:anchorId="18880E54" wp14:editId="369A696F">
                  <wp:extent cx="412750" cy="412750"/>
                  <wp:effectExtent l="0" t="0" r="6350" b="0"/>
                  <wp:docPr id="192" name="Graphic 19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2BBD6C61" w14:textId="77777777" w:rsidR="00E00071" w:rsidRPr="006275A6" w:rsidRDefault="00E00071" w:rsidP="00CA07D8">
            <w:r>
              <w:rPr>
                <w:noProof/>
              </w:rPr>
              <w:drawing>
                <wp:inline distT="0" distB="0" distL="0" distR="0" wp14:anchorId="5CCB94A6" wp14:editId="09128F88">
                  <wp:extent cx="412750" cy="412750"/>
                  <wp:effectExtent l="0" t="0" r="6350" b="0"/>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1CF38528" w14:textId="77777777" w:rsidR="00E00071" w:rsidRPr="006275A6" w:rsidRDefault="00E00071" w:rsidP="00CA07D8">
            <w:r>
              <w:rPr>
                <w:noProof/>
              </w:rPr>
              <w:drawing>
                <wp:inline distT="0" distB="0" distL="0" distR="0" wp14:anchorId="2819051D" wp14:editId="62E5DF8F">
                  <wp:extent cx="412750" cy="412750"/>
                  <wp:effectExtent l="0" t="0" r="6350" b="0"/>
                  <wp:docPr id="42" name="Graphic 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454800AF" w14:textId="77777777" w:rsidR="00E00071" w:rsidRPr="006275A6" w:rsidRDefault="00E00071" w:rsidP="00CA07D8">
            <w:r w:rsidRPr="001A5397">
              <w:rPr>
                <w:b/>
                <w:bCs/>
              </w:rPr>
              <w:t>Individual Supported Employment</w:t>
            </w:r>
            <w:r>
              <w:t xml:space="preserve"> is provided one-on-one by a job coach who offers training and support in a competitive job where persons without disabilities are employed.</w:t>
            </w:r>
          </w:p>
        </w:tc>
      </w:tr>
      <w:tr w:rsidR="00E00071" w:rsidRPr="006275A6" w14:paraId="396C4F22" w14:textId="77777777" w:rsidTr="00CA07D8">
        <w:tc>
          <w:tcPr>
            <w:tcW w:w="876" w:type="dxa"/>
          </w:tcPr>
          <w:p w14:paraId="538E90D5" w14:textId="77777777" w:rsidR="00E00071" w:rsidRPr="006275A6" w:rsidRDefault="00E00071" w:rsidP="00CA07D8">
            <w:r>
              <w:rPr>
                <w:noProof/>
              </w:rPr>
              <w:drawing>
                <wp:inline distT="0" distB="0" distL="0" distR="0" wp14:anchorId="27BE495E" wp14:editId="4A115B83">
                  <wp:extent cx="412750" cy="412750"/>
                  <wp:effectExtent l="0" t="0" r="6350" b="0"/>
                  <wp:docPr id="193" name="Graphic 19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1F572481" w14:textId="77777777" w:rsidR="00E00071" w:rsidRPr="006275A6" w:rsidRDefault="00E00071" w:rsidP="00CA07D8">
            <w:r>
              <w:rPr>
                <w:noProof/>
              </w:rPr>
              <w:drawing>
                <wp:inline distT="0" distB="0" distL="0" distR="0" wp14:anchorId="16F08B8E" wp14:editId="25268DB2">
                  <wp:extent cx="412750" cy="412750"/>
                  <wp:effectExtent l="0" t="0" r="6350" b="0"/>
                  <wp:docPr id="194" name="Graphic 1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6D203CA1" w14:textId="77777777" w:rsidR="00E00071" w:rsidRPr="006275A6" w:rsidRDefault="00E00071" w:rsidP="00CA07D8">
            <w:r>
              <w:rPr>
                <w:noProof/>
              </w:rPr>
              <w:drawing>
                <wp:inline distT="0" distB="0" distL="0" distR="0" wp14:anchorId="5316A79A" wp14:editId="272892CB">
                  <wp:extent cx="412750" cy="412750"/>
                  <wp:effectExtent l="0" t="0" r="6350" b="0"/>
                  <wp:docPr id="43" name="Graphic 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08C2EF8B" w14:textId="77777777" w:rsidR="00E00071" w:rsidRPr="006275A6" w:rsidRDefault="00E00071" w:rsidP="00CA07D8">
            <w:r w:rsidRPr="001A5397">
              <w:rPr>
                <w:b/>
                <w:bCs/>
              </w:rPr>
              <w:t>Group Supported Employment</w:t>
            </w:r>
            <w:r>
              <w:t xml:space="preserve"> is continuous employment-related support provided to a group of individuals working a competitive job where persons without disabilities are employed.</w:t>
            </w:r>
          </w:p>
        </w:tc>
      </w:tr>
      <w:tr w:rsidR="00E00071" w:rsidRPr="006275A6" w14:paraId="789BBE4E" w14:textId="77777777" w:rsidTr="00CA07D8">
        <w:tc>
          <w:tcPr>
            <w:tcW w:w="876" w:type="dxa"/>
          </w:tcPr>
          <w:p w14:paraId="0B24A891" w14:textId="77777777" w:rsidR="00E00071" w:rsidRPr="006275A6" w:rsidRDefault="00E00071" w:rsidP="00CA07D8"/>
        </w:tc>
        <w:tc>
          <w:tcPr>
            <w:tcW w:w="876" w:type="dxa"/>
          </w:tcPr>
          <w:p w14:paraId="186374A8" w14:textId="77777777" w:rsidR="00E00071" w:rsidRPr="006275A6" w:rsidRDefault="00E00071" w:rsidP="00CA07D8">
            <w:r>
              <w:rPr>
                <w:noProof/>
              </w:rPr>
              <w:drawing>
                <wp:inline distT="0" distB="0" distL="0" distR="0" wp14:anchorId="5A943309" wp14:editId="0276D071">
                  <wp:extent cx="412750" cy="412750"/>
                  <wp:effectExtent l="0" t="0" r="635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3A7F0A6D" w14:textId="77777777" w:rsidR="00E00071" w:rsidRPr="006275A6" w:rsidRDefault="00E00071" w:rsidP="00CA07D8">
            <w:r>
              <w:rPr>
                <w:noProof/>
              </w:rPr>
              <w:drawing>
                <wp:inline distT="0" distB="0" distL="0" distR="0" wp14:anchorId="23272F4F" wp14:editId="314E9C48">
                  <wp:extent cx="412750" cy="412750"/>
                  <wp:effectExtent l="0" t="0" r="6350" b="0"/>
                  <wp:docPr id="46" name="Graphic 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36BFD6AF" w14:textId="77777777" w:rsidR="00E00071" w:rsidRPr="006275A6" w:rsidRDefault="00E00071" w:rsidP="00CA07D8">
            <w:r w:rsidRPr="001A5397">
              <w:rPr>
                <w:b/>
                <w:bCs/>
              </w:rPr>
              <w:t>Workplace Assistance</w:t>
            </w:r>
            <w:r>
              <w:t xml:space="preserve"> is provided to someone who requires more than typical job coach services to maintain individual, competitive employment.</w:t>
            </w:r>
          </w:p>
        </w:tc>
      </w:tr>
      <w:tr w:rsidR="00E00071" w:rsidRPr="006275A6" w14:paraId="18E25733" w14:textId="77777777" w:rsidTr="00CA07D8">
        <w:tc>
          <w:tcPr>
            <w:tcW w:w="876" w:type="dxa"/>
          </w:tcPr>
          <w:p w14:paraId="09E0A229" w14:textId="77777777" w:rsidR="00E00071" w:rsidRPr="006275A6" w:rsidRDefault="00E00071" w:rsidP="00CA07D8">
            <w:r>
              <w:rPr>
                <w:noProof/>
              </w:rPr>
              <w:drawing>
                <wp:inline distT="0" distB="0" distL="0" distR="0" wp14:anchorId="2FCE3193" wp14:editId="1450AFD1">
                  <wp:extent cx="412750" cy="412750"/>
                  <wp:effectExtent l="0" t="0" r="6350" b="0"/>
                  <wp:docPr id="44" name="Graphic 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09B9C10F" w14:textId="77777777" w:rsidR="00E00071" w:rsidRPr="006275A6" w:rsidRDefault="00E00071" w:rsidP="00CA07D8">
            <w:r>
              <w:rPr>
                <w:noProof/>
              </w:rPr>
              <w:drawing>
                <wp:inline distT="0" distB="0" distL="0" distR="0" wp14:anchorId="7675AF7A" wp14:editId="1BD9D143">
                  <wp:extent cx="412750" cy="412750"/>
                  <wp:effectExtent l="0" t="0" r="6350" b="0"/>
                  <wp:docPr id="52" name="Graphic 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36301ED6" w14:textId="77777777" w:rsidR="00E00071" w:rsidRPr="006275A6" w:rsidRDefault="00E00071" w:rsidP="00CA07D8">
            <w:r>
              <w:rPr>
                <w:noProof/>
              </w:rPr>
              <w:drawing>
                <wp:inline distT="0" distB="0" distL="0" distR="0" wp14:anchorId="0E3DA739" wp14:editId="6E44EBCE">
                  <wp:extent cx="412750" cy="412750"/>
                  <wp:effectExtent l="0" t="0" r="6350" b="0"/>
                  <wp:docPr id="53" name="Graphic 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6F1BCF08" w14:textId="77777777" w:rsidR="00E00071" w:rsidRPr="006275A6" w:rsidRDefault="00E00071" w:rsidP="00CA07D8">
            <w:r w:rsidRPr="001A5397">
              <w:rPr>
                <w:b/>
                <w:bCs/>
              </w:rPr>
              <w:t>Community Engagement</w:t>
            </w:r>
            <w:r>
              <w:t xml:space="preserve"> provides a wide variety of opportunities to build relationships and natural supports in the community, while utilizing the community as a learning environment. </w:t>
            </w:r>
          </w:p>
        </w:tc>
      </w:tr>
      <w:tr w:rsidR="00E00071" w:rsidRPr="006275A6" w14:paraId="657B0A8B" w14:textId="77777777" w:rsidTr="00CA07D8">
        <w:tc>
          <w:tcPr>
            <w:tcW w:w="876" w:type="dxa"/>
          </w:tcPr>
          <w:p w14:paraId="3E380B94" w14:textId="77777777" w:rsidR="00E00071" w:rsidRPr="006275A6" w:rsidRDefault="00E00071" w:rsidP="00CA07D8">
            <w:r>
              <w:rPr>
                <w:noProof/>
              </w:rPr>
              <w:drawing>
                <wp:inline distT="0" distB="0" distL="0" distR="0" wp14:anchorId="65171D38" wp14:editId="42C8D006">
                  <wp:extent cx="412750" cy="412750"/>
                  <wp:effectExtent l="0" t="0" r="6350" b="0"/>
                  <wp:docPr id="55" name="Graphic 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0721149F" w14:textId="77777777" w:rsidR="00E00071" w:rsidRPr="006275A6" w:rsidRDefault="00E00071" w:rsidP="00CA07D8">
            <w:r>
              <w:rPr>
                <w:noProof/>
              </w:rPr>
              <w:drawing>
                <wp:inline distT="0" distB="0" distL="0" distR="0" wp14:anchorId="2CE1587D" wp14:editId="5C0C72DF">
                  <wp:extent cx="412750" cy="412750"/>
                  <wp:effectExtent l="0" t="0" r="6350" b="0"/>
                  <wp:docPr id="56" name="Graphic 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1B20C1CD" w14:textId="77777777" w:rsidR="00E00071" w:rsidRPr="006275A6" w:rsidRDefault="00E00071" w:rsidP="00CA07D8">
            <w:r>
              <w:rPr>
                <w:noProof/>
              </w:rPr>
              <w:drawing>
                <wp:inline distT="0" distB="0" distL="0" distR="0" wp14:anchorId="649FCF71" wp14:editId="61E61A9C">
                  <wp:extent cx="412750" cy="412750"/>
                  <wp:effectExtent l="0" t="0" r="6350" b="0"/>
                  <wp:docPr id="57" name="Graphic 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52B78520" w14:textId="77777777" w:rsidR="00E00071" w:rsidRPr="006275A6" w:rsidRDefault="00E00071" w:rsidP="00CA07D8">
            <w:r w:rsidRPr="001A5397">
              <w:rPr>
                <w:b/>
                <w:bCs/>
              </w:rPr>
              <w:t>Community Coaching</w:t>
            </w:r>
            <w:r>
              <w:t xml:space="preserve"> is designed for people who need one-to-one support in order build a specific skill or skills to address barrier(s) that prevents that person from participating in Community Engagement. </w:t>
            </w:r>
          </w:p>
        </w:tc>
      </w:tr>
      <w:tr w:rsidR="00E00071" w:rsidRPr="006275A6" w14:paraId="2421901A" w14:textId="77777777" w:rsidTr="00CA07D8">
        <w:tc>
          <w:tcPr>
            <w:tcW w:w="876" w:type="dxa"/>
          </w:tcPr>
          <w:p w14:paraId="3C50623E" w14:textId="77777777" w:rsidR="00E00071" w:rsidRPr="006275A6" w:rsidRDefault="00E00071" w:rsidP="00CA07D8">
            <w:r>
              <w:rPr>
                <w:noProof/>
              </w:rPr>
              <w:drawing>
                <wp:inline distT="0" distB="0" distL="0" distR="0" wp14:anchorId="5397B67A" wp14:editId="7E403E0F">
                  <wp:extent cx="412750" cy="412750"/>
                  <wp:effectExtent l="0" t="0" r="6350" b="0"/>
                  <wp:docPr id="61" name="Graphic 6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72D5C601" w14:textId="77777777" w:rsidR="00E00071" w:rsidRPr="006275A6" w:rsidRDefault="00E00071" w:rsidP="00CA07D8">
            <w:r>
              <w:rPr>
                <w:noProof/>
              </w:rPr>
              <w:drawing>
                <wp:inline distT="0" distB="0" distL="0" distR="0" wp14:anchorId="0199BA31" wp14:editId="01889D48">
                  <wp:extent cx="412750" cy="412750"/>
                  <wp:effectExtent l="0" t="0" r="6350" b="0"/>
                  <wp:docPr id="62" name="Graphic 6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0E19FA45" w14:textId="77777777" w:rsidR="00E00071" w:rsidRPr="006275A6" w:rsidRDefault="00E00071" w:rsidP="00CA07D8">
            <w:r>
              <w:rPr>
                <w:noProof/>
              </w:rPr>
              <w:drawing>
                <wp:inline distT="0" distB="0" distL="0" distR="0" wp14:anchorId="71067E77" wp14:editId="212E801F">
                  <wp:extent cx="412750" cy="412750"/>
                  <wp:effectExtent l="0" t="0" r="6350" b="0"/>
                  <wp:docPr id="63" name="Graphic 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15A2DDBE" w14:textId="77777777" w:rsidR="00E00071" w:rsidRPr="006275A6" w:rsidRDefault="00E00071" w:rsidP="00CA07D8">
            <w:r w:rsidRPr="001A5397">
              <w:rPr>
                <w:b/>
                <w:bCs/>
              </w:rPr>
              <w:t>Group Day</w:t>
            </w:r>
            <w:r>
              <w:t xml:space="preserve"> includes skill-building and support activities to gain or help keep social skills, self-help skills and other necessary skills to enhance independence and increase community integration. Can occur in a center and the community.</w:t>
            </w:r>
          </w:p>
        </w:tc>
      </w:tr>
    </w:tbl>
    <w:p w14:paraId="36A1F343" w14:textId="112EDD01" w:rsidR="00E00071" w:rsidRDefault="00E00071" w:rsidP="00E00071"/>
    <w:tbl>
      <w:tblPr>
        <w:tblStyle w:val="TableGrid"/>
        <w:tblW w:w="9895" w:type="dxa"/>
        <w:tblLook w:val="04A0" w:firstRow="1" w:lastRow="0" w:firstColumn="1" w:lastColumn="0" w:noHBand="0" w:noVBand="1"/>
      </w:tblPr>
      <w:tblGrid>
        <w:gridCol w:w="876"/>
        <w:gridCol w:w="876"/>
        <w:gridCol w:w="876"/>
        <w:gridCol w:w="7267"/>
      </w:tblGrid>
      <w:tr w:rsidR="00E00071" w:rsidRPr="00D35BA3" w14:paraId="0A1C6279" w14:textId="77777777" w:rsidTr="00CA07D8">
        <w:tc>
          <w:tcPr>
            <w:tcW w:w="876" w:type="dxa"/>
            <w:shd w:val="clear" w:color="auto" w:fill="4472C4" w:themeFill="accent1"/>
          </w:tcPr>
          <w:p w14:paraId="7DFE258E" w14:textId="77777777" w:rsidR="00E00071" w:rsidRPr="007A430A" w:rsidRDefault="00E00071" w:rsidP="00CA07D8">
            <w:pPr>
              <w:jc w:val="center"/>
              <w:rPr>
                <w:b/>
                <w:bCs/>
                <w:color w:val="FFFFFF" w:themeColor="background1"/>
              </w:rPr>
            </w:pPr>
            <w:r w:rsidRPr="007A430A">
              <w:rPr>
                <w:b/>
                <w:bCs/>
                <w:color w:val="FFFFFF" w:themeColor="background1"/>
              </w:rPr>
              <w:t>BI</w:t>
            </w:r>
          </w:p>
        </w:tc>
        <w:tc>
          <w:tcPr>
            <w:tcW w:w="876" w:type="dxa"/>
            <w:shd w:val="clear" w:color="auto" w:fill="4472C4" w:themeFill="accent1"/>
          </w:tcPr>
          <w:p w14:paraId="19F3BF16" w14:textId="77777777" w:rsidR="00E00071" w:rsidRPr="007A430A" w:rsidRDefault="00E00071" w:rsidP="00CA07D8">
            <w:pPr>
              <w:jc w:val="center"/>
              <w:rPr>
                <w:b/>
                <w:bCs/>
                <w:color w:val="FFFFFF" w:themeColor="background1"/>
              </w:rPr>
            </w:pPr>
            <w:r w:rsidRPr="007A430A">
              <w:rPr>
                <w:b/>
                <w:bCs/>
                <w:color w:val="FFFFFF" w:themeColor="background1"/>
              </w:rPr>
              <w:t>FIS</w:t>
            </w:r>
          </w:p>
        </w:tc>
        <w:tc>
          <w:tcPr>
            <w:tcW w:w="876" w:type="dxa"/>
            <w:shd w:val="clear" w:color="auto" w:fill="4472C4" w:themeFill="accent1"/>
          </w:tcPr>
          <w:p w14:paraId="36F66444" w14:textId="77777777" w:rsidR="00E00071" w:rsidRPr="007A430A" w:rsidRDefault="00E00071" w:rsidP="00CA07D8">
            <w:pPr>
              <w:jc w:val="center"/>
              <w:rPr>
                <w:b/>
                <w:bCs/>
                <w:color w:val="FFFFFF" w:themeColor="background1"/>
              </w:rPr>
            </w:pPr>
            <w:r w:rsidRPr="007A430A">
              <w:rPr>
                <w:b/>
                <w:bCs/>
                <w:color w:val="FFFFFF" w:themeColor="background1"/>
              </w:rPr>
              <w:t>CL</w:t>
            </w:r>
          </w:p>
        </w:tc>
        <w:tc>
          <w:tcPr>
            <w:tcW w:w="7267" w:type="dxa"/>
            <w:shd w:val="clear" w:color="auto" w:fill="4472C4" w:themeFill="accent1"/>
          </w:tcPr>
          <w:p w14:paraId="2571642A" w14:textId="77777777" w:rsidR="00E00071" w:rsidRPr="007A430A" w:rsidRDefault="00E00071" w:rsidP="00CA07D8">
            <w:pPr>
              <w:tabs>
                <w:tab w:val="center" w:pos="3525"/>
                <w:tab w:val="left" w:pos="5680"/>
              </w:tabs>
              <w:rPr>
                <w:b/>
                <w:bCs/>
                <w:color w:val="FFFFFF" w:themeColor="background1"/>
              </w:rPr>
            </w:pPr>
            <w:r w:rsidRPr="007A430A">
              <w:rPr>
                <w:b/>
                <w:bCs/>
                <w:color w:val="FFFFFF" w:themeColor="background1"/>
              </w:rPr>
              <w:tab/>
              <w:t>Additional Services</w:t>
            </w:r>
            <w:r w:rsidRPr="007A430A">
              <w:rPr>
                <w:b/>
                <w:bCs/>
                <w:color w:val="FFFFFF" w:themeColor="background1"/>
              </w:rPr>
              <w:tab/>
            </w:r>
          </w:p>
        </w:tc>
      </w:tr>
      <w:tr w:rsidR="00E00071" w:rsidRPr="006275A6" w14:paraId="5047E94B" w14:textId="77777777" w:rsidTr="00CA07D8">
        <w:tc>
          <w:tcPr>
            <w:tcW w:w="876" w:type="dxa"/>
          </w:tcPr>
          <w:p w14:paraId="7DFA6CCF" w14:textId="77777777" w:rsidR="00E00071" w:rsidRPr="006275A6" w:rsidRDefault="00E00071" w:rsidP="00CA07D8">
            <w:r>
              <w:rPr>
                <w:noProof/>
              </w:rPr>
              <w:drawing>
                <wp:inline distT="0" distB="0" distL="0" distR="0" wp14:anchorId="0FF5EB2C" wp14:editId="684BBC84">
                  <wp:extent cx="412750" cy="412750"/>
                  <wp:effectExtent l="0" t="0" r="6350" b="0"/>
                  <wp:docPr id="240" name="Graphic 2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0B2D2B87" w14:textId="77777777" w:rsidR="00E00071" w:rsidRPr="006275A6" w:rsidRDefault="00E00071" w:rsidP="00CA07D8">
            <w:r>
              <w:rPr>
                <w:noProof/>
              </w:rPr>
              <w:drawing>
                <wp:inline distT="0" distB="0" distL="0" distR="0" wp14:anchorId="3C8C035F" wp14:editId="626A312C">
                  <wp:extent cx="412750" cy="412750"/>
                  <wp:effectExtent l="0" t="0" r="6350" b="0"/>
                  <wp:docPr id="241" name="Graphic 2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5EEB83ED" w14:textId="77777777" w:rsidR="00E00071" w:rsidRPr="006275A6" w:rsidRDefault="00E00071" w:rsidP="00CA07D8">
            <w:r>
              <w:rPr>
                <w:noProof/>
              </w:rPr>
              <w:drawing>
                <wp:inline distT="0" distB="0" distL="0" distR="0" wp14:anchorId="1EED40C6" wp14:editId="0EDAB2F7">
                  <wp:extent cx="412750" cy="412750"/>
                  <wp:effectExtent l="0" t="0" r="6350" b="0"/>
                  <wp:docPr id="242" name="Graphic 2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0C31098C" w14:textId="77777777" w:rsidR="00E00071" w:rsidRPr="006275A6" w:rsidRDefault="00E00071" w:rsidP="00CA07D8">
            <w:r w:rsidRPr="007174BF">
              <w:rPr>
                <w:b/>
                <w:bCs/>
              </w:rPr>
              <w:t>Assistive technology</w:t>
            </w:r>
            <w:r>
              <w:t xml:space="preserve"> is specialized medical equipment, supplies, devices, controls, and appliances, not covered by insurance which enables persons to increase their independence in their environment and community.</w:t>
            </w:r>
          </w:p>
        </w:tc>
      </w:tr>
      <w:tr w:rsidR="00E00071" w:rsidRPr="006275A6" w14:paraId="49E1A7FF" w14:textId="77777777" w:rsidTr="00CA07D8">
        <w:tc>
          <w:tcPr>
            <w:tcW w:w="876" w:type="dxa"/>
          </w:tcPr>
          <w:p w14:paraId="71CDCD3E" w14:textId="77777777" w:rsidR="00E00071" w:rsidRPr="006275A6" w:rsidRDefault="00E00071" w:rsidP="00CA07D8">
            <w:r>
              <w:rPr>
                <w:noProof/>
              </w:rPr>
              <w:drawing>
                <wp:inline distT="0" distB="0" distL="0" distR="0" wp14:anchorId="771068B2" wp14:editId="4B8D72FE">
                  <wp:extent cx="412750" cy="412750"/>
                  <wp:effectExtent l="0" t="0" r="6350" b="0"/>
                  <wp:docPr id="243" name="Graphic 2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7F47AC0B" w14:textId="77777777" w:rsidR="00E00071" w:rsidRPr="006275A6" w:rsidRDefault="00E00071" w:rsidP="00CA07D8">
            <w:r>
              <w:rPr>
                <w:noProof/>
              </w:rPr>
              <w:drawing>
                <wp:inline distT="0" distB="0" distL="0" distR="0" wp14:anchorId="0C815DB5" wp14:editId="59F49DA7">
                  <wp:extent cx="412750" cy="412750"/>
                  <wp:effectExtent l="0" t="0" r="6350" b="0"/>
                  <wp:docPr id="244" name="Graphic 2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7BA0312E" w14:textId="77777777" w:rsidR="00E00071" w:rsidRPr="006275A6" w:rsidRDefault="00E00071" w:rsidP="00CA07D8">
            <w:r>
              <w:rPr>
                <w:noProof/>
              </w:rPr>
              <w:drawing>
                <wp:inline distT="0" distB="0" distL="0" distR="0" wp14:anchorId="1850F2A7" wp14:editId="7479A21E">
                  <wp:extent cx="412750" cy="412750"/>
                  <wp:effectExtent l="0" t="0" r="6350" b="0"/>
                  <wp:docPr id="245" name="Graphic 2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4B8BB669" w14:textId="77777777" w:rsidR="00E00071" w:rsidRPr="006275A6" w:rsidRDefault="00E00071" w:rsidP="00CA07D8">
            <w:r w:rsidRPr="00445F72">
              <w:rPr>
                <w:b/>
                <w:bCs/>
              </w:rPr>
              <w:t>Benefits Planning</w:t>
            </w:r>
            <w:r>
              <w:t xml:space="preserve"> is a service that assists recipients of DD Waiver and social security to understand their personal benefits and explore their options regarding employment.</w:t>
            </w:r>
          </w:p>
        </w:tc>
      </w:tr>
      <w:tr w:rsidR="00E00071" w:rsidRPr="006275A6" w14:paraId="03213E2A" w14:textId="77777777" w:rsidTr="00CA07D8">
        <w:tc>
          <w:tcPr>
            <w:tcW w:w="876" w:type="dxa"/>
          </w:tcPr>
          <w:p w14:paraId="70F6B0E8" w14:textId="77777777" w:rsidR="00E00071" w:rsidRPr="006275A6" w:rsidRDefault="00E00071" w:rsidP="00CA07D8">
            <w:r>
              <w:rPr>
                <w:noProof/>
              </w:rPr>
              <w:drawing>
                <wp:inline distT="0" distB="0" distL="0" distR="0" wp14:anchorId="794D549A" wp14:editId="26B393F4">
                  <wp:extent cx="412750" cy="412750"/>
                  <wp:effectExtent l="0" t="0" r="6350" b="0"/>
                  <wp:docPr id="246" name="Graphic 2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42EDBB3A" w14:textId="77777777" w:rsidR="00E00071" w:rsidRPr="006275A6" w:rsidRDefault="00E00071" w:rsidP="00CA07D8">
            <w:r>
              <w:rPr>
                <w:noProof/>
              </w:rPr>
              <w:drawing>
                <wp:inline distT="0" distB="0" distL="0" distR="0" wp14:anchorId="523FC2CB" wp14:editId="7320C6B3">
                  <wp:extent cx="412750" cy="412750"/>
                  <wp:effectExtent l="0" t="0" r="6350" b="0"/>
                  <wp:docPr id="247" name="Graphic 2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35347F28" w14:textId="77777777" w:rsidR="00E00071" w:rsidRPr="006275A6" w:rsidRDefault="00E00071" w:rsidP="00CA07D8">
            <w:r>
              <w:rPr>
                <w:noProof/>
              </w:rPr>
              <w:drawing>
                <wp:inline distT="0" distB="0" distL="0" distR="0" wp14:anchorId="4B73C2E1" wp14:editId="33080356">
                  <wp:extent cx="412750" cy="412750"/>
                  <wp:effectExtent l="0" t="0" r="6350" b="0"/>
                  <wp:docPr id="248" name="Graphic 2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39FEE844" w14:textId="77777777" w:rsidR="00E00071" w:rsidRPr="006275A6" w:rsidRDefault="00E00071" w:rsidP="00CA07D8">
            <w:r w:rsidRPr="00445F72">
              <w:rPr>
                <w:b/>
                <w:bCs/>
              </w:rPr>
              <w:t>Community Guide</w:t>
            </w:r>
            <w:r>
              <w:t xml:space="preserve"> Direct assistance (1:1) to persons in navigating and utilizing community resources. Provides information and assistance that help the person in problem solving, decision making, and developing supportive community relationships and other resources that promote implementation of the person-centered plan.</w:t>
            </w:r>
          </w:p>
        </w:tc>
      </w:tr>
      <w:tr w:rsidR="00E00071" w:rsidRPr="006275A6" w14:paraId="731759B8" w14:textId="77777777" w:rsidTr="00CA07D8">
        <w:tc>
          <w:tcPr>
            <w:tcW w:w="876" w:type="dxa"/>
          </w:tcPr>
          <w:p w14:paraId="2D5A9359" w14:textId="77777777" w:rsidR="00E00071" w:rsidRPr="006275A6" w:rsidRDefault="00E00071" w:rsidP="00CA07D8">
            <w:r>
              <w:rPr>
                <w:noProof/>
              </w:rPr>
              <w:drawing>
                <wp:inline distT="0" distB="0" distL="0" distR="0" wp14:anchorId="5574CCAA" wp14:editId="7CDC681A">
                  <wp:extent cx="412750" cy="412750"/>
                  <wp:effectExtent l="0" t="0" r="6350" b="0"/>
                  <wp:docPr id="249" name="Graphic 2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06D378C2" w14:textId="77777777" w:rsidR="00E00071" w:rsidRPr="006275A6" w:rsidRDefault="00E00071" w:rsidP="00CA07D8">
            <w:r>
              <w:rPr>
                <w:noProof/>
              </w:rPr>
              <w:drawing>
                <wp:inline distT="0" distB="0" distL="0" distR="0" wp14:anchorId="2E929F30" wp14:editId="49F1C416">
                  <wp:extent cx="412750" cy="412750"/>
                  <wp:effectExtent l="0" t="0" r="6350" b="0"/>
                  <wp:docPr id="250" name="Graphic 2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79CC502A" w14:textId="77777777" w:rsidR="00E00071" w:rsidRPr="006275A6" w:rsidRDefault="00E00071" w:rsidP="00CA07D8">
            <w:r>
              <w:rPr>
                <w:noProof/>
              </w:rPr>
              <w:drawing>
                <wp:inline distT="0" distB="0" distL="0" distR="0" wp14:anchorId="5AFC5D0D" wp14:editId="1E8AAC7E">
                  <wp:extent cx="412750" cy="412750"/>
                  <wp:effectExtent l="0" t="0" r="6350" b="0"/>
                  <wp:docPr id="251" name="Graphic 2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2E2C431C" w14:textId="2A002DE7" w:rsidR="00E00071" w:rsidRPr="006275A6" w:rsidRDefault="00E00071" w:rsidP="00CA07D8">
            <w:r w:rsidRPr="00445F72">
              <w:rPr>
                <w:b/>
                <w:bCs/>
              </w:rPr>
              <w:t>Electronic Home-Based Services</w:t>
            </w:r>
            <w:r>
              <w:t xml:space="preserve"> are goods and services based on current technology to enable a person to safely live and participate in the community </w:t>
            </w:r>
            <w:r>
              <w:lastRenderedPageBreak/>
              <w:t>while decreasing the need for support staff services. This includes purchases of electronic devices, software, services, and supplies not otherwise provided through this waiver or through the State Plan, that would allow an individual to access greater independence and self-determination.</w:t>
            </w:r>
          </w:p>
        </w:tc>
      </w:tr>
      <w:tr w:rsidR="00E00071" w:rsidRPr="006275A6" w14:paraId="1AD8CA89" w14:textId="77777777" w:rsidTr="00CA07D8">
        <w:tc>
          <w:tcPr>
            <w:tcW w:w="876" w:type="dxa"/>
          </w:tcPr>
          <w:p w14:paraId="61D9CBCC" w14:textId="77777777" w:rsidR="00E00071" w:rsidRPr="006275A6" w:rsidRDefault="00E00071" w:rsidP="00CA07D8">
            <w:r>
              <w:rPr>
                <w:noProof/>
              </w:rPr>
              <w:lastRenderedPageBreak/>
              <w:drawing>
                <wp:inline distT="0" distB="0" distL="0" distR="0" wp14:anchorId="49081F69" wp14:editId="57A9DD7A">
                  <wp:extent cx="412750" cy="412750"/>
                  <wp:effectExtent l="0" t="0" r="6350" b="0"/>
                  <wp:docPr id="252" name="Graphic 2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7B6C36EF" w14:textId="77777777" w:rsidR="00E00071" w:rsidRPr="006275A6" w:rsidRDefault="00E00071" w:rsidP="00CA07D8">
            <w:r>
              <w:rPr>
                <w:noProof/>
              </w:rPr>
              <w:drawing>
                <wp:inline distT="0" distB="0" distL="0" distR="0" wp14:anchorId="2AA28576" wp14:editId="37E6C82C">
                  <wp:extent cx="412750" cy="412750"/>
                  <wp:effectExtent l="0" t="0" r="6350" b="0"/>
                  <wp:docPr id="253" name="Graphic 2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01846943" w14:textId="77777777" w:rsidR="00E00071" w:rsidRPr="006275A6" w:rsidRDefault="00E00071" w:rsidP="00CA07D8">
            <w:r>
              <w:rPr>
                <w:noProof/>
              </w:rPr>
              <w:drawing>
                <wp:inline distT="0" distB="0" distL="0" distR="0" wp14:anchorId="2B9A24B1" wp14:editId="537E5292">
                  <wp:extent cx="412750" cy="412750"/>
                  <wp:effectExtent l="0" t="0" r="6350" b="0"/>
                  <wp:docPr id="254" name="Graphic 2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4FC6DB52" w14:textId="006E6477" w:rsidR="00E00071" w:rsidRPr="006275A6" w:rsidRDefault="00E00071" w:rsidP="00CA07D8">
            <w:r w:rsidRPr="00445F72">
              <w:rPr>
                <w:b/>
                <w:bCs/>
              </w:rPr>
              <w:t>Individual and Family/Caregiver Training</w:t>
            </w:r>
            <w:r>
              <w:t xml:space="preserve"> is training and counseling to individual, families and caregivers to improve supports or educate the person to gain a better understand of his/her abilities or increase his/her self-determination/self-advocacy abilities.</w:t>
            </w:r>
          </w:p>
        </w:tc>
      </w:tr>
      <w:tr w:rsidR="00E00071" w:rsidRPr="006275A6" w14:paraId="5323A6BE" w14:textId="77777777" w:rsidTr="00CA07D8">
        <w:tc>
          <w:tcPr>
            <w:tcW w:w="876" w:type="dxa"/>
          </w:tcPr>
          <w:p w14:paraId="09DE9E5F" w14:textId="77777777" w:rsidR="00E00071" w:rsidRPr="006275A6" w:rsidRDefault="00E00071" w:rsidP="00CA07D8">
            <w:r>
              <w:rPr>
                <w:noProof/>
              </w:rPr>
              <w:drawing>
                <wp:inline distT="0" distB="0" distL="0" distR="0" wp14:anchorId="303294B0" wp14:editId="1F7F0220">
                  <wp:extent cx="412750" cy="412750"/>
                  <wp:effectExtent l="0" t="0" r="6350" b="0"/>
                  <wp:docPr id="255" name="Graphic 2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3C6E699F" w14:textId="77777777" w:rsidR="00E00071" w:rsidRPr="006275A6" w:rsidRDefault="00E00071" w:rsidP="00CA07D8">
            <w:r>
              <w:rPr>
                <w:noProof/>
              </w:rPr>
              <w:drawing>
                <wp:inline distT="0" distB="0" distL="0" distR="0" wp14:anchorId="66814576" wp14:editId="0852B6C8">
                  <wp:extent cx="412750" cy="412750"/>
                  <wp:effectExtent l="0" t="0" r="6350" b="0"/>
                  <wp:docPr id="256" name="Graphic 2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72D6BAB2" w14:textId="77777777" w:rsidR="00E00071" w:rsidRPr="006275A6" w:rsidRDefault="00E00071" w:rsidP="00CA07D8">
            <w:r>
              <w:rPr>
                <w:noProof/>
              </w:rPr>
              <w:drawing>
                <wp:inline distT="0" distB="0" distL="0" distR="0" wp14:anchorId="683AD43F" wp14:editId="33ED5A91">
                  <wp:extent cx="412750" cy="412750"/>
                  <wp:effectExtent l="0" t="0" r="6350" b="0"/>
                  <wp:docPr id="257" name="Graphic 2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32C538E0" w14:textId="15B1B23D" w:rsidR="00E00071" w:rsidRPr="006275A6" w:rsidRDefault="00E00071" w:rsidP="00CA07D8">
            <w:r w:rsidRPr="00445F72">
              <w:rPr>
                <w:b/>
                <w:bCs/>
              </w:rPr>
              <w:t>Environmental modifications</w:t>
            </w:r>
            <w:r>
              <w:t xml:space="preserve"> are physical adaptations to the person's primary home or primary vehicle that are necessary to ensure the health and welfare of the person or enable the individual to function with greater independence.</w:t>
            </w:r>
          </w:p>
        </w:tc>
      </w:tr>
      <w:tr w:rsidR="00E00071" w:rsidRPr="006275A6" w14:paraId="476AC28D" w14:textId="77777777" w:rsidTr="00CA07D8">
        <w:tc>
          <w:tcPr>
            <w:tcW w:w="876" w:type="dxa"/>
          </w:tcPr>
          <w:p w14:paraId="19C097CC" w14:textId="77777777" w:rsidR="00E00071" w:rsidRPr="006275A6" w:rsidRDefault="00E00071" w:rsidP="00CA07D8">
            <w:r>
              <w:rPr>
                <w:noProof/>
              </w:rPr>
              <w:drawing>
                <wp:inline distT="0" distB="0" distL="0" distR="0" wp14:anchorId="33B832CF" wp14:editId="3C8209A3">
                  <wp:extent cx="412750" cy="412750"/>
                  <wp:effectExtent l="0" t="0" r="6350" b="0"/>
                  <wp:docPr id="258" name="Graphic 25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0C8C3F9C" w14:textId="77777777" w:rsidR="00E00071" w:rsidRPr="006275A6" w:rsidRDefault="00E00071" w:rsidP="00CA07D8">
            <w:r>
              <w:rPr>
                <w:noProof/>
              </w:rPr>
              <w:drawing>
                <wp:inline distT="0" distB="0" distL="0" distR="0" wp14:anchorId="63B89545" wp14:editId="3B4356DA">
                  <wp:extent cx="412750" cy="412750"/>
                  <wp:effectExtent l="0" t="0" r="6350" b="0"/>
                  <wp:docPr id="259" name="Graphic 25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7B70F69F" w14:textId="77777777" w:rsidR="00E00071" w:rsidRPr="006275A6" w:rsidRDefault="00E00071" w:rsidP="00CA07D8">
            <w:r>
              <w:rPr>
                <w:noProof/>
              </w:rPr>
              <w:drawing>
                <wp:inline distT="0" distB="0" distL="0" distR="0" wp14:anchorId="2167BA6B" wp14:editId="236770D1">
                  <wp:extent cx="412750" cy="412750"/>
                  <wp:effectExtent l="0" t="0" r="6350" b="0"/>
                  <wp:docPr id="260" name="Graphic 26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37B21F62" w14:textId="41D60BF3" w:rsidR="00E00071" w:rsidRPr="006275A6" w:rsidRDefault="00E00071" w:rsidP="00CA07D8">
            <w:r w:rsidRPr="00445F72">
              <w:rPr>
                <w:b/>
                <w:bCs/>
              </w:rPr>
              <w:t>Employment and Community Transportation</w:t>
            </w:r>
            <w:r>
              <w:t xml:space="preserve"> promotes the individual’s independence and participation in the life of his or her community. Transportation to waiver and other community services or events, activities and resources, inclusive of transportation to employment or volunteer sites, homes of family or friends, civic organizations or social clubs, public meetings or other civic activities, and spiritual activities or events as specified by the service plan and when no other means of access is available.</w:t>
            </w:r>
          </w:p>
        </w:tc>
      </w:tr>
      <w:tr w:rsidR="00E00071" w:rsidRPr="006275A6" w14:paraId="3A71B5F8" w14:textId="77777777" w:rsidTr="00CA07D8">
        <w:tc>
          <w:tcPr>
            <w:tcW w:w="876" w:type="dxa"/>
          </w:tcPr>
          <w:p w14:paraId="65B66DCB" w14:textId="77777777" w:rsidR="00E00071" w:rsidRPr="006275A6" w:rsidRDefault="00E00071" w:rsidP="00CA07D8">
            <w:r>
              <w:rPr>
                <w:noProof/>
              </w:rPr>
              <w:drawing>
                <wp:inline distT="0" distB="0" distL="0" distR="0" wp14:anchorId="525FC283" wp14:editId="3EB60B75">
                  <wp:extent cx="412750" cy="412750"/>
                  <wp:effectExtent l="0" t="0" r="6350" b="0"/>
                  <wp:docPr id="261" name="Graphic 26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229EE508" w14:textId="77777777" w:rsidR="00E00071" w:rsidRPr="006275A6" w:rsidRDefault="00E00071" w:rsidP="00CA07D8">
            <w:r>
              <w:rPr>
                <w:noProof/>
              </w:rPr>
              <w:drawing>
                <wp:inline distT="0" distB="0" distL="0" distR="0" wp14:anchorId="68E2689C" wp14:editId="50D41218">
                  <wp:extent cx="412750" cy="412750"/>
                  <wp:effectExtent l="0" t="0" r="6350" b="0"/>
                  <wp:docPr id="262" name="Graphic 26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44C5270B" w14:textId="77777777" w:rsidR="00E00071" w:rsidRPr="006275A6" w:rsidRDefault="00E00071" w:rsidP="00CA07D8">
            <w:r>
              <w:rPr>
                <w:noProof/>
              </w:rPr>
              <w:drawing>
                <wp:inline distT="0" distB="0" distL="0" distR="0" wp14:anchorId="72C7125C" wp14:editId="5A1845FC">
                  <wp:extent cx="412750" cy="412750"/>
                  <wp:effectExtent l="0" t="0" r="6350" b="0"/>
                  <wp:docPr id="263" name="Graphic 2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5A77A13E" w14:textId="66DE51C3" w:rsidR="00E00071" w:rsidRPr="006275A6" w:rsidRDefault="00E00071" w:rsidP="00CA07D8">
            <w:r w:rsidRPr="00445F72">
              <w:rPr>
                <w:b/>
                <w:bCs/>
              </w:rPr>
              <w:t>Peer Mentor Supports</w:t>
            </w:r>
            <w:r>
              <w:t xml:space="preserve"> is designed to foster connections and relationships which build individual resilience. This service is delivered by people with developmental disabilities who are or have received services, have shared experiences with the person, and provide support and guidance to him/her.</w:t>
            </w:r>
          </w:p>
        </w:tc>
      </w:tr>
      <w:tr w:rsidR="00E00071" w:rsidRPr="006275A6" w14:paraId="7B1E835F" w14:textId="77777777" w:rsidTr="00CA07D8">
        <w:tc>
          <w:tcPr>
            <w:tcW w:w="876" w:type="dxa"/>
          </w:tcPr>
          <w:p w14:paraId="375EBAE5" w14:textId="77777777" w:rsidR="00E00071" w:rsidRPr="006275A6" w:rsidRDefault="00E00071" w:rsidP="00CA07D8">
            <w:r>
              <w:rPr>
                <w:noProof/>
              </w:rPr>
              <w:drawing>
                <wp:inline distT="0" distB="0" distL="0" distR="0" wp14:anchorId="7041CA68" wp14:editId="26FEED45">
                  <wp:extent cx="412750" cy="412750"/>
                  <wp:effectExtent l="0" t="0" r="6350" b="0"/>
                  <wp:docPr id="264" name="Graphic 26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4834A7D3" w14:textId="77777777" w:rsidR="00E00071" w:rsidRPr="006275A6" w:rsidRDefault="00E00071" w:rsidP="00CA07D8">
            <w:r>
              <w:rPr>
                <w:noProof/>
              </w:rPr>
              <w:drawing>
                <wp:inline distT="0" distB="0" distL="0" distR="0" wp14:anchorId="1CE142B7" wp14:editId="08C9275F">
                  <wp:extent cx="412750" cy="412750"/>
                  <wp:effectExtent l="0" t="0" r="6350" b="0"/>
                  <wp:docPr id="265" name="Graphic 26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2717322E" w14:textId="77777777" w:rsidR="00E00071" w:rsidRPr="006275A6" w:rsidRDefault="00E00071" w:rsidP="00CA07D8">
            <w:r>
              <w:rPr>
                <w:noProof/>
              </w:rPr>
              <w:drawing>
                <wp:inline distT="0" distB="0" distL="0" distR="0" wp14:anchorId="27F82687" wp14:editId="75EAD9AA">
                  <wp:extent cx="412750" cy="412750"/>
                  <wp:effectExtent l="0" t="0" r="6350" b="0"/>
                  <wp:docPr id="266" name="Graphic 2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3FECD119" w14:textId="5FDDA45B" w:rsidR="00E00071" w:rsidRPr="006275A6" w:rsidRDefault="00E00071" w:rsidP="00CA07D8">
            <w:r w:rsidRPr="00445F72">
              <w:rPr>
                <w:b/>
                <w:bCs/>
              </w:rPr>
              <w:t>Transition services</w:t>
            </w:r>
            <w:r>
              <w:t xml:space="preserve"> are nonrecurring set-up expenses for persons who are transitioning from an institution or provider-operated living arrangement to a living arrangement in a private residence where the person is directly responsible for his or her own living expenses.</w:t>
            </w:r>
          </w:p>
        </w:tc>
      </w:tr>
    </w:tbl>
    <w:p w14:paraId="5E44FDF9" w14:textId="2A57DF4A" w:rsidR="00E00071" w:rsidRDefault="00CD13DB" w:rsidP="00E00071">
      <w:r>
        <w:rPr>
          <w:noProof/>
        </w:rPr>
        <mc:AlternateContent>
          <mc:Choice Requires="wpg">
            <w:drawing>
              <wp:anchor distT="45720" distB="45720" distL="182880" distR="182880" simplePos="0" relativeHeight="251659264" behindDoc="0" locked="0" layoutInCell="1" allowOverlap="1" wp14:anchorId="4DAD39AE" wp14:editId="4D2D74CB">
                <wp:simplePos x="0" y="0"/>
                <wp:positionH relativeFrom="margin">
                  <wp:posOffset>2644140</wp:posOffset>
                </wp:positionH>
                <wp:positionV relativeFrom="margin">
                  <wp:posOffset>4639017</wp:posOffset>
                </wp:positionV>
                <wp:extent cx="3568065" cy="869950"/>
                <wp:effectExtent l="19050" t="19050" r="13335" b="25400"/>
                <wp:wrapSquare wrapText="bothSides"/>
                <wp:docPr id="198" name="Group 198"/>
                <wp:cNvGraphicFramePr/>
                <a:graphic xmlns:a="http://schemas.openxmlformats.org/drawingml/2006/main">
                  <a:graphicData uri="http://schemas.microsoft.com/office/word/2010/wordprocessingGroup">
                    <wpg:wgp>
                      <wpg:cNvGrpSpPr/>
                      <wpg:grpSpPr>
                        <a:xfrm>
                          <a:off x="0" y="0"/>
                          <a:ext cx="3568065" cy="869950"/>
                          <a:chOff x="0" y="81244"/>
                          <a:chExt cx="3567448" cy="837411"/>
                        </a:xfrm>
                      </wpg:grpSpPr>
                      <wps:wsp>
                        <wps:cNvPr id="199" name="Rectangle 199"/>
                        <wps:cNvSpPr/>
                        <wps:spPr>
                          <a:xfrm>
                            <a:off x="7033" y="81244"/>
                            <a:ext cx="3539464" cy="144152"/>
                          </a:xfrm>
                          <a:prstGeom prst="rect">
                            <a:avLst/>
                          </a:prstGeom>
                          <a:solidFill>
                            <a:schemeClr val="accent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C5729" w14:textId="77777777" w:rsidR="00E00071" w:rsidRDefault="00E00071" w:rsidP="00E0007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0"/>
                            <a:ext cx="3567448" cy="66597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077D4C" w14:textId="77777777" w:rsidR="00E00071" w:rsidRPr="007A430A" w:rsidRDefault="00E00071" w:rsidP="00E00071">
                              <w:pPr>
                                <w:jc w:val="center"/>
                                <w:rPr>
                                  <w:rFonts w:ascii="Arial Rounded MT Bold" w:hAnsi="Arial Rounded MT Bold"/>
                                  <w:caps/>
                                </w:rPr>
                              </w:pPr>
                              <w:r w:rsidRPr="007A430A">
                                <w:rPr>
                                  <w:rFonts w:ascii="Arial Rounded MT Bold" w:hAnsi="Arial Rounded MT Bold"/>
                                  <w:caps/>
                                </w:rPr>
                                <w:t>tHE FOLLOWING THREE SERVICES ALLOW CONSUMER AND aG</w:t>
                              </w:r>
                              <w:r>
                                <w:rPr>
                                  <w:rFonts w:ascii="Arial Rounded MT Bold" w:hAnsi="Arial Rounded MT Bold"/>
                                  <w:caps/>
                                </w:rPr>
                                <w:t>EN</w:t>
                              </w:r>
                              <w:r w:rsidRPr="007A430A">
                                <w:rPr>
                                  <w:rFonts w:ascii="Arial Rounded MT Bold" w:hAnsi="Arial Rounded MT Bold"/>
                                  <w:caps/>
                                </w:rPr>
                                <w:t>CY dIRECTED mODELS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AD39AE" id="Group 198" o:spid="_x0000_s1027" style="position:absolute;margin-left:208.2pt;margin-top:365.3pt;width:280.95pt;height:68.5pt;z-index:251659264;mso-wrap-distance-left:14.4pt;mso-wrap-distance-top:3.6pt;mso-wrap-distance-right:14.4pt;mso-wrap-distance-bottom:3.6pt;mso-position-horizontal-relative:margin;mso-position-vertical-relative:margin;mso-width-relative:margin;mso-height-relative:margin" coordorigin=",812" coordsize="35674,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">
                <v:rect id="Rectangle 199" o:spid="_x0000_s1028" style="position:absolute;left:70;top:812;width:35394;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" fillcolor="#4472c4 [3204]" strokecolor="black [3213]" strokeweight="3pt">
                  <v:textbox>
                    <w:txbxContent>
                      <w:p w14:paraId="5B3C5729" w14:textId="77777777" w:rsidR="00E00071" w:rsidRDefault="00E00071" w:rsidP="00E00071">
                        <w:pPr>
                          <w:jc w:val="center"/>
                          <w:rPr>
                            <w:rFonts w:asciiTheme="majorHAnsi" w:eastAsiaTheme="majorEastAsia" w:hAnsiTheme="majorHAnsi" w:cstheme="majorBidi"/>
                            <w:color w:val="FFFFFF" w:themeColor="background1"/>
                            <w:sz w:val="24"/>
                            <w:szCs w:val="28"/>
                          </w:rPr>
                        </w:pPr>
                      </w:p>
                    </w:txbxContent>
                  </v:textbox>
                </v:rect>
                <v:shape id="Text Box 200" o:spid="_x0000_s1029" type="#_x0000_t202" style="position:absolute;top:2526;width:35674;height: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" filled="f" strokecolor="black [3213]" strokeweight="3pt">
                  <v:textbox inset=",7.2pt,,0">
                    <w:txbxContent>
                      <w:p w14:paraId="5F077D4C" w14:textId="77777777" w:rsidR="00E00071" w:rsidRPr="007A430A" w:rsidRDefault="00E00071" w:rsidP="00E00071">
                        <w:pPr>
                          <w:jc w:val="center"/>
                          <w:rPr>
                            <w:rFonts w:ascii="Arial Rounded MT Bold" w:hAnsi="Arial Rounded MT Bold"/>
                            <w:caps/>
                          </w:rPr>
                        </w:pPr>
                        <w:r w:rsidRPr="007A430A">
                          <w:rPr>
                            <w:rFonts w:ascii="Arial Rounded MT Bold" w:hAnsi="Arial Rounded MT Bold"/>
                            <w:caps/>
                          </w:rPr>
                          <w:t>tHE FOLLOWING THREE SERVICES ALLOW CONSUMER AND aG</w:t>
                        </w:r>
                        <w:r>
                          <w:rPr>
                            <w:rFonts w:ascii="Arial Rounded MT Bold" w:hAnsi="Arial Rounded MT Bold"/>
                            <w:caps/>
                          </w:rPr>
                          <w:t>EN</w:t>
                        </w:r>
                        <w:r w:rsidRPr="007A430A">
                          <w:rPr>
                            <w:rFonts w:ascii="Arial Rounded MT Bold" w:hAnsi="Arial Rounded MT Bold"/>
                            <w:caps/>
                          </w:rPr>
                          <w:t>CY dIRECTED mODELS</w:t>
                        </w:r>
                      </w:p>
                    </w:txbxContent>
                  </v:textbox>
                </v:shape>
                <w10:wrap type="square" anchorx="margin" anchory="margin"/>
              </v:group>
            </w:pict>
          </mc:Fallback>
        </mc:AlternateContent>
      </w:r>
    </w:p>
    <w:tbl>
      <w:tblPr>
        <w:tblStyle w:val="TableGrid"/>
        <w:tblW w:w="9895" w:type="dxa"/>
        <w:tblLook w:val="04A0" w:firstRow="1" w:lastRow="0" w:firstColumn="1" w:lastColumn="0" w:noHBand="0" w:noVBand="1"/>
      </w:tblPr>
      <w:tblGrid>
        <w:gridCol w:w="876"/>
        <w:gridCol w:w="876"/>
        <w:gridCol w:w="876"/>
        <w:gridCol w:w="7267"/>
      </w:tblGrid>
      <w:tr w:rsidR="00E00071" w:rsidRPr="00D35BA3" w14:paraId="7749368E" w14:textId="77777777" w:rsidTr="00CA07D8">
        <w:tc>
          <w:tcPr>
            <w:tcW w:w="876" w:type="dxa"/>
            <w:shd w:val="clear" w:color="auto" w:fill="4472C4" w:themeFill="accent1"/>
          </w:tcPr>
          <w:p w14:paraId="17D01D6A" w14:textId="77777777" w:rsidR="00E00071" w:rsidRPr="00D35BA3" w:rsidRDefault="00E00071" w:rsidP="00CA07D8">
            <w:pPr>
              <w:jc w:val="center"/>
              <w:rPr>
                <w:color w:val="FFFFFF" w:themeColor="background1"/>
              </w:rPr>
            </w:pPr>
            <w:r w:rsidRPr="00D35BA3">
              <w:rPr>
                <w:color w:val="FFFFFF" w:themeColor="background1"/>
              </w:rPr>
              <w:t>BI</w:t>
            </w:r>
          </w:p>
        </w:tc>
        <w:tc>
          <w:tcPr>
            <w:tcW w:w="876" w:type="dxa"/>
            <w:shd w:val="clear" w:color="auto" w:fill="4472C4" w:themeFill="accent1"/>
          </w:tcPr>
          <w:p w14:paraId="26052AD3" w14:textId="77777777" w:rsidR="00E00071" w:rsidRPr="00D35BA3" w:rsidRDefault="00E00071" w:rsidP="00CA07D8">
            <w:pPr>
              <w:jc w:val="center"/>
              <w:rPr>
                <w:color w:val="FFFFFF" w:themeColor="background1"/>
              </w:rPr>
            </w:pPr>
            <w:r w:rsidRPr="00D35BA3">
              <w:rPr>
                <w:color w:val="FFFFFF" w:themeColor="background1"/>
              </w:rPr>
              <w:t>FIS</w:t>
            </w:r>
          </w:p>
        </w:tc>
        <w:tc>
          <w:tcPr>
            <w:tcW w:w="876" w:type="dxa"/>
            <w:shd w:val="clear" w:color="auto" w:fill="4472C4" w:themeFill="accent1"/>
          </w:tcPr>
          <w:p w14:paraId="2F48A6C9" w14:textId="77777777" w:rsidR="00E00071" w:rsidRPr="00D35BA3" w:rsidRDefault="00E00071" w:rsidP="00CA07D8">
            <w:pPr>
              <w:jc w:val="center"/>
              <w:rPr>
                <w:color w:val="FFFFFF" w:themeColor="background1"/>
              </w:rPr>
            </w:pPr>
            <w:r w:rsidRPr="00D35BA3">
              <w:rPr>
                <w:color w:val="FFFFFF" w:themeColor="background1"/>
              </w:rPr>
              <w:t>CL</w:t>
            </w:r>
          </w:p>
        </w:tc>
        <w:tc>
          <w:tcPr>
            <w:tcW w:w="7267" w:type="dxa"/>
            <w:shd w:val="clear" w:color="auto" w:fill="4472C4" w:themeFill="accent1"/>
          </w:tcPr>
          <w:p w14:paraId="11334776" w14:textId="6079362A" w:rsidR="00E00071" w:rsidRPr="00D35BA3" w:rsidRDefault="00E00071" w:rsidP="00CA07D8">
            <w:pPr>
              <w:tabs>
                <w:tab w:val="center" w:pos="3525"/>
                <w:tab w:val="left" w:pos="5680"/>
              </w:tabs>
              <w:rPr>
                <w:color w:val="FFFFFF" w:themeColor="background1"/>
              </w:rPr>
            </w:pPr>
            <w:r>
              <w:rPr>
                <w:color w:val="FFFFFF" w:themeColor="background1"/>
              </w:rPr>
              <w:tab/>
            </w:r>
            <w:r>
              <w:rPr>
                <w:color w:val="FFFFFF" w:themeColor="background1"/>
              </w:rPr>
              <w:tab/>
            </w:r>
          </w:p>
        </w:tc>
      </w:tr>
      <w:tr w:rsidR="00E00071" w:rsidRPr="006275A6" w14:paraId="7FA6053D" w14:textId="77777777" w:rsidTr="00CA07D8">
        <w:tc>
          <w:tcPr>
            <w:tcW w:w="876" w:type="dxa"/>
          </w:tcPr>
          <w:p w14:paraId="4EBEEABC" w14:textId="77777777" w:rsidR="00E00071" w:rsidRPr="006275A6" w:rsidRDefault="00E00071" w:rsidP="00CA07D8"/>
        </w:tc>
        <w:tc>
          <w:tcPr>
            <w:tcW w:w="876" w:type="dxa"/>
          </w:tcPr>
          <w:p w14:paraId="0D3FFF99" w14:textId="77777777" w:rsidR="00E00071" w:rsidRPr="006275A6" w:rsidRDefault="00E00071" w:rsidP="00CA07D8">
            <w:r>
              <w:rPr>
                <w:noProof/>
              </w:rPr>
              <w:drawing>
                <wp:inline distT="0" distB="0" distL="0" distR="0" wp14:anchorId="27A290F2" wp14:editId="229F66B6">
                  <wp:extent cx="412750" cy="412750"/>
                  <wp:effectExtent l="0" t="0" r="6350" b="0"/>
                  <wp:docPr id="312" name="Graphic 3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6B3D4721" w14:textId="77777777" w:rsidR="00E00071" w:rsidRPr="006275A6" w:rsidRDefault="00E00071" w:rsidP="00CA07D8">
            <w:r>
              <w:rPr>
                <w:noProof/>
              </w:rPr>
              <w:drawing>
                <wp:inline distT="0" distB="0" distL="0" distR="0" wp14:anchorId="583422F1" wp14:editId="632D54AF">
                  <wp:extent cx="412750" cy="412750"/>
                  <wp:effectExtent l="0" t="0" r="6350" b="0"/>
                  <wp:docPr id="313" name="Graphic 3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28DE9FD2" w14:textId="44C52176" w:rsidR="00E00071" w:rsidRPr="006275A6" w:rsidRDefault="00E00071" w:rsidP="00CA07D8">
            <w:r w:rsidRPr="007A430A">
              <w:rPr>
                <w:b/>
                <w:bCs/>
              </w:rPr>
              <w:t>Personal Assistance Services</w:t>
            </w:r>
            <w:r>
              <w:t xml:space="preserve"> includes monitoring health status, assisting with maintaining a clean and safe home and providing direct support with personal care needs at home, in the community, and at work.</w:t>
            </w:r>
          </w:p>
        </w:tc>
      </w:tr>
      <w:tr w:rsidR="00E00071" w:rsidRPr="006275A6" w14:paraId="50F8F8CB" w14:textId="77777777" w:rsidTr="00CA07D8">
        <w:tc>
          <w:tcPr>
            <w:tcW w:w="876" w:type="dxa"/>
          </w:tcPr>
          <w:p w14:paraId="1F240014" w14:textId="77777777" w:rsidR="00E00071" w:rsidRPr="006275A6" w:rsidRDefault="00E00071" w:rsidP="00CA07D8"/>
        </w:tc>
        <w:tc>
          <w:tcPr>
            <w:tcW w:w="876" w:type="dxa"/>
          </w:tcPr>
          <w:p w14:paraId="4323D01D" w14:textId="77777777" w:rsidR="00E00071" w:rsidRPr="006275A6" w:rsidRDefault="00E00071" w:rsidP="00CA07D8">
            <w:r>
              <w:rPr>
                <w:noProof/>
              </w:rPr>
              <w:drawing>
                <wp:inline distT="0" distB="0" distL="0" distR="0" wp14:anchorId="5D16B54F" wp14:editId="4B367B94">
                  <wp:extent cx="412750" cy="412750"/>
                  <wp:effectExtent l="0" t="0" r="6350" b="0"/>
                  <wp:docPr id="315" name="Graphic 3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4FF3C200" w14:textId="77777777" w:rsidR="00E00071" w:rsidRPr="006275A6" w:rsidRDefault="00E00071" w:rsidP="00CA07D8">
            <w:r>
              <w:rPr>
                <w:noProof/>
              </w:rPr>
              <w:drawing>
                <wp:inline distT="0" distB="0" distL="0" distR="0" wp14:anchorId="042FBB7B" wp14:editId="36380193">
                  <wp:extent cx="412750" cy="412750"/>
                  <wp:effectExtent l="0" t="0" r="6350" b="0"/>
                  <wp:docPr id="316" name="Graphic 3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55664F31" w14:textId="77777777" w:rsidR="00E00071" w:rsidRPr="006275A6" w:rsidRDefault="00E00071" w:rsidP="00CA07D8">
            <w:r w:rsidRPr="007A430A">
              <w:rPr>
                <w:b/>
                <w:bCs/>
              </w:rPr>
              <w:t xml:space="preserve">Companion </w:t>
            </w:r>
            <w:r>
              <w:rPr>
                <w:b/>
                <w:bCs/>
              </w:rPr>
              <w:t>S</w:t>
            </w:r>
            <w:r w:rsidRPr="007A430A">
              <w:rPr>
                <w:b/>
                <w:bCs/>
              </w:rPr>
              <w:t>ervices</w:t>
            </w:r>
            <w:r>
              <w:t xml:space="preserve"> provide nonmedical care, socialization, or support to adults, ages 18 and older in a person’s home and/or in the community</w:t>
            </w:r>
          </w:p>
        </w:tc>
      </w:tr>
      <w:tr w:rsidR="00E00071" w:rsidRPr="006275A6" w14:paraId="17293299" w14:textId="77777777" w:rsidTr="00CA07D8">
        <w:tc>
          <w:tcPr>
            <w:tcW w:w="876" w:type="dxa"/>
          </w:tcPr>
          <w:p w14:paraId="7A6D7675" w14:textId="77777777" w:rsidR="00E00071" w:rsidRPr="006275A6" w:rsidRDefault="00E00071" w:rsidP="00CA07D8"/>
        </w:tc>
        <w:tc>
          <w:tcPr>
            <w:tcW w:w="876" w:type="dxa"/>
          </w:tcPr>
          <w:p w14:paraId="54666A3A" w14:textId="77777777" w:rsidR="00E00071" w:rsidRPr="006275A6" w:rsidRDefault="00E00071" w:rsidP="00CA07D8">
            <w:r>
              <w:rPr>
                <w:noProof/>
              </w:rPr>
              <w:drawing>
                <wp:inline distT="0" distB="0" distL="0" distR="0" wp14:anchorId="1DA13E78" wp14:editId="4DE641CF">
                  <wp:extent cx="412750" cy="412750"/>
                  <wp:effectExtent l="0" t="0" r="6350" b="0"/>
                  <wp:docPr id="318" name="Graphic 3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7806197F" w14:textId="77777777" w:rsidR="00E00071" w:rsidRPr="006275A6" w:rsidRDefault="00E00071" w:rsidP="00CA07D8">
            <w:r>
              <w:rPr>
                <w:noProof/>
              </w:rPr>
              <w:drawing>
                <wp:inline distT="0" distB="0" distL="0" distR="0" wp14:anchorId="15776F3A" wp14:editId="21F2D36C">
                  <wp:extent cx="412750" cy="412750"/>
                  <wp:effectExtent l="0" t="0" r="6350" b="0"/>
                  <wp:docPr id="319" name="Graphic 3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1D0D0298" w14:textId="600D6F97" w:rsidR="00E00071" w:rsidRPr="006275A6" w:rsidRDefault="00E00071" w:rsidP="00CA07D8">
            <w:r w:rsidRPr="007A430A">
              <w:rPr>
                <w:b/>
                <w:bCs/>
              </w:rPr>
              <w:t>Respite services</w:t>
            </w:r>
            <w:r>
              <w:t xml:space="preserve"> are specifically designed to provide temporary, short-term care for a person when his/her unpaid, primary caregiver is unavailable</w:t>
            </w:r>
          </w:p>
        </w:tc>
      </w:tr>
    </w:tbl>
    <w:p w14:paraId="2286E5F6" w14:textId="607A4C72" w:rsidR="00E00071" w:rsidRDefault="00E00071" w:rsidP="00E00071"/>
    <w:tbl>
      <w:tblPr>
        <w:tblStyle w:val="TableGrid"/>
        <w:tblW w:w="9895" w:type="dxa"/>
        <w:tblLook w:val="04A0" w:firstRow="1" w:lastRow="0" w:firstColumn="1" w:lastColumn="0" w:noHBand="0" w:noVBand="1"/>
      </w:tblPr>
      <w:tblGrid>
        <w:gridCol w:w="876"/>
        <w:gridCol w:w="876"/>
        <w:gridCol w:w="876"/>
        <w:gridCol w:w="7267"/>
      </w:tblGrid>
      <w:tr w:rsidR="00E00071" w:rsidRPr="00D35BA3" w14:paraId="2BDEC94F" w14:textId="77777777" w:rsidTr="00CA07D8">
        <w:tc>
          <w:tcPr>
            <w:tcW w:w="876" w:type="dxa"/>
            <w:shd w:val="clear" w:color="auto" w:fill="4472C4" w:themeFill="accent1"/>
          </w:tcPr>
          <w:p w14:paraId="2C30C1B2" w14:textId="77777777" w:rsidR="00E00071" w:rsidRPr="00D35BA3" w:rsidRDefault="00E00071" w:rsidP="00CA07D8">
            <w:pPr>
              <w:jc w:val="center"/>
              <w:rPr>
                <w:color w:val="FFFFFF" w:themeColor="background1"/>
              </w:rPr>
            </w:pPr>
            <w:r w:rsidRPr="00D35BA3">
              <w:rPr>
                <w:color w:val="FFFFFF" w:themeColor="background1"/>
              </w:rPr>
              <w:t>BI</w:t>
            </w:r>
          </w:p>
        </w:tc>
        <w:tc>
          <w:tcPr>
            <w:tcW w:w="876" w:type="dxa"/>
            <w:shd w:val="clear" w:color="auto" w:fill="4472C4" w:themeFill="accent1"/>
          </w:tcPr>
          <w:p w14:paraId="65838D66" w14:textId="77777777" w:rsidR="00E00071" w:rsidRPr="00D35BA3" w:rsidRDefault="00E00071" w:rsidP="00CA07D8">
            <w:pPr>
              <w:jc w:val="center"/>
              <w:rPr>
                <w:color w:val="FFFFFF" w:themeColor="background1"/>
              </w:rPr>
            </w:pPr>
            <w:r w:rsidRPr="00D35BA3">
              <w:rPr>
                <w:color w:val="FFFFFF" w:themeColor="background1"/>
              </w:rPr>
              <w:t>FIS</w:t>
            </w:r>
          </w:p>
        </w:tc>
        <w:tc>
          <w:tcPr>
            <w:tcW w:w="876" w:type="dxa"/>
            <w:shd w:val="clear" w:color="auto" w:fill="4472C4" w:themeFill="accent1"/>
          </w:tcPr>
          <w:p w14:paraId="02D463B1" w14:textId="77777777" w:rsidR="00E00071" w:rsidRPr="00D35BA3" w:rsidRDefault="00E00071" w:rsidP="00CA07D8">
            <w:pPr>
              <w:jc w:val="center"/>
              <w:rPr>
                <w:color w:val="FFFFFF" w:themeColor="background1"/>
              </w:rPr>
            </w:pPr>
            <w:r w:rsidRPr="00D35BA3">
              <w:rPr>
                <w:color w:val="FFFFFF" w:themeColor="background1"/>
              </w:rPr>
              <w:t>CL</w:t>
            </w:r>
          </w:p>
        </w:tc>
        <w:tc>
          <w:tcPr>
            <w:tcW w:w="7267" w:type="dxa"/>
            <w:shd w:val="clear" w:color="auto" w:fill="4472C4" w:themeFill="accent1"/>
          </w:tcPr>
          <w:p w14:paraId="2901246A" w14:textId="77777777" w:rsidR="00E00071" w:rsidRPr="00D35BA3" w:rsidRDefault="00E00071" w:rsidP="00CA07D8">
            <w:pPr>
              <w:tabs>
                <w:tab w:val="center" w:pos="3525"/>
                <w:tab w:val="left" w:pos="5680"/>
              </w:tabs>
              <w:rPr>
                <w:color w:val="FFFFFF" w:themeColor="background1"/>
              </w:rPr>
            </w:pPr>
            <w:r>
              <w:rPr>
                <w:color w:val="FFFFFF" w:themeColor="background1"/>
              </w:rPr>
              <w:tab/>
              <w:t>Medical and Behavior Services</w:t>
            </w:r>
            <w:r>
              <w:rPr>
                <w:color w:val="FFFFFF" w:themeColor="background1"/>
              </w:rPr>
              <w:tab/>
            </w:r>
          </w:p>
        </w:tc>
      </w:tr>
      <w:tr w:rsidR="00E00071" w:rsidRPr="006275A6" w14:paraId="2E7AC859" w14:textId="77777777" w:rsidTr="00CA07D8">
        <w:tc>
          <w:tcPr>
            <w:tcW w:w="876" w:type="dxa"/>
          </w:tcPr>
          <w:p w14:paraId="1CDD9B2A" w14:textId="77777777" w:rsidR="00E00071" w:rsidRPr="006275A6" w:rsidRDefault="00E00071" w:rsidP="00CA07D8"/>
        </w:tc>
        <w:tc>
          <w:tcPr>
            <w:tcW w:w="876" w:type="dxa"/>
          </w:tcPr>
          <w:p w14:paraId="7C966E53" w14:textId="77777777" w:rsidR="00E00071" w:rsidRPr="006275A6" w:rsidRDefault="00E00071" w:rsidP="00CA07D8">
            <w:r>
              <w:rPr>
                <w:noProof/>
              </w:rPr>
              <w:drawing>
                <wp:inline distT="0" distB="0" distL="0" distR="0" wp14:anchorId="7BA5976B" wp14:editId="1AAEE520">
                  <wp:extent cx="412750" cy="412750"/>
                  <wp:effectExtent l="0" t="0" r="6350" b="0"/>
                  <wp:docPr id="285" name="Graphic 28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32135EB7" w14:textId="77777777" w:rsidR="00E00071" w:rsidRPr="006275A6" w:rsidRDefault="00E00071" w:rsidP="00CA07D8">
            <w:r>
              <w:rPr>
                <w:noProof/>
              </w:rPr>
              <w:drawing>
                <wp:inline distT="0" distB="0" distL="0" distR="0" wp14:anchorId="4298BCD7" wp14:editId="78915121">
                  <wp:extent cx="412750" cy="412750"/>
                  <wp:effectExtent l="0" t="0" r="6350" b="0"/>
                  <wp:docPr id="286" name="Graphic 28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2C255000" w14:textId="77777777" w:rsidR="00E00071" w:rsidRPr="006275A6" w:rsidRDefault="00E00071" w:rsidP="00CA07D8">
            <w:r w:rsidRPr="00445F72">
              <w:rPr>
                <w:b/>
                <w:bCs/>
              </w:rPr>
              <w:t>Private Duty Nursing</w:t>
            </w:r>
            <w:r>
              <w:t xml:space="preserve"> is individual and continuous care (in contrast to part-time or intermittent care) for people with a medical condition and/or complex health care need, to enable the person to remain at home.</w:t>
            </w:r>
          </w:p>
        </w:tc>
      </w:tr>
      <w:tr w:rsidR="00E00071" w:rsidRPr="006275A6" w14:paraId="457381DE" w14:textId="77777777" w:rsidTr="00CA07D8">
        <w:tc>
          <w:tcPr>
            <w:tcW w:w="876" w:type="dxa"/>
          </w:tcPr>
          <w:p w14:paraId="3764C896" w14:textId="77777777" w:rsidR="00E00071" w:rsidRPr="006275A6" w:rsidRDefault="00E00071" w:rsidP="00CA07D8"/>
        </w:tc>
        <w:tc>
          <w:tcPr>
            <w:tcW w:w="876" w:type="dxa"/>
          </w:tcPr>
          <w:p w14:paraId="306FFC8F" w14:textId="77777777" w:rsidR="00E00071" w:rsidRPr="006275A6" w:rsidRDefault="00E00071" w:rsidP="00CA07D8">
            <w:r>
              <w:rPr>
                <w:noProof/>
              </w:rPr>
              <w:drawing>
                <wp:inline distT="0" distB="0" distL="0" distR="0" wp14:anchorId="79E254B3" wp14:editId="7AD83EA6">
                  <wp:extent cx="412750" cy="412750"/>
                  <wp:effectExtent l="0" t="0" r="6350" b="0"/>
                  <wp:docPr id="288" name="Graphic 2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5338BA29" w14:textId="77777777" w:rsidR="00E00071" w:rsidRPr="006275A6" w:rsidRDefault="00E00071" w:rsidP="00CA07D8">
            <w:r>
              <w:rPr>
                <w:noProof/>
              </w:rPr>
              <w:drawing>
                <wp:inline distT="0" distB="0" distL="0" distR="0" wp14:anchorId="54E86E99" wp14:editId="73E7CD01">
                  <wp:extent cx="412750" cy="412750"/>
                  <wp:effectExtent l="0" t="0" r="6350" b="0"/>
                  <wp:docPr id="289" name="Graphic 2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424AAA49" w14:textId="77777777" w:rsidR="00E00071" w:rsidRPr="006275A6" w:rsidRDefault="00E00071" w:rsidP="00CA07D8">
            <w:r w:rsidRPr="00445F72">
              <w:rPr>
                <w:b/>
                <w:bCs/>
              </w:rPr>
              <w:t>Skilled Nursing</w:t>
            </w:r>
            <w:r>
              <w:t xml:space="preserve"> is part-time or intermittent care provided by an LPN or RN to address or delegate needs that require the direct support or oversight of a licensed nurse. Nursing services can occur at the same time as other waiver services.</w:t>
            </w:r>
          </w:p>
        </w:tc>
      </w:tr>
      <w:tr w:rsidR="00E00071" w:rsidRPr="006275A6" w14:paraId="1D4A492B" w14:textId="77777777" w:rsidTr="00CA07D8">
        <w:tc>
          <w:tcPr>
            <w:tcW w:w="876" w:type="dxa"/>
          </w:tcPr>
          <w:p w14:paraId="7B4A0932" w14:textId="77777777" w:rsidR="00E00071" w:rsidRPr="006275A6" w:rsidRDefault="00E00071" w:rsidP="00CA07D8"/>
        </w:tc>
        <w:tc>
          <w:tcPr>
            <w:tcW w:w="876" w:type="dxa"/>
          </w:tcPr>
          <w:p w14:paraId="624FC46A" w14:textId="77777777" w:rsidR="00E00071" w:rsidRPr="006275A6" w:rsidRDefault="00E00071" w:rsidP="00CA07D8">
            <w:r>
              <w:rPr>
                <w:noProof/>
              </w:rPr>
              <w:drawing>
                <wp:inline distT="0" distB="0" distL="0" distR="0" wp14:anchorId="1EB08F02" wp14:editId="766B0C13">
                  <wp:extent cx="412750" cy="412750"/>
                  <wp:effectExtent l="0" t="0" r="6350" b="0"/>
                  <wp:docPr id="291" name="Graphic 2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292EFD16" w14:textId="77777777" w:rsidR="00E00071" w:rsidRPr="006275A6" w:rsidRDefault="00E00071" w:rsidP="00CA07D8">
            <w:r>
              <w:rPr>
                <w:noProof/>
              </w:rPr>
              <w:drawing>
                <wp:inline distT="0" distB="0" distL="0" distR="0" wp14:anchorId="03BB38A1" wp14:editId="4078388D">
                  <wp:extent cx="412750" cy="412750"/>
                  <wp:effectExtent l="0" t="0" r="6350" b="0"/>
                  <wp:docPr id="292" name="Graphic 29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0AB00206" w14:textId="77777777" w:rsidR="00E00071" w:rsidRPr="006275A6" w:rsidRDefault="00E00071" w:rsidP="00CA07D8">
            <w:r w:rsidRPr="00445F72">
              <w:rPr>
                <w:b/>
                <w:bCs/>
              </w:rPr>
              <w:t>Therapeutic consultation</w:t>
            </w:r>
            <w:r>
              <w:t xml:space="preserve"> is consultation with a professional designed to assist the individual’s staff and/or the individual’s family/caregiver, as appropriate, through assessments, development of TC supports plans, and teaching for the purpose of assisting the individual enrolled in the waiver with the designated specialty area. The specialty areas are psychology, behavioral consultation, therapeutic recreation, speech and language pathology, occupational therapy, physical therapy, and rehabilitation engineering</w:t>
            </w:r>
          </w:p>
        </w:tc>
      </w:tr>
      <w:tr w:rsidR="00E00071" w:rsidRPr="006275A6" w14:paraId="7CDE30B5" w14:textId="77777777" w:rsidTr="00CA07D8">
        <w:tc>
          <w:tcPr>
            <w:tcW w:w="876" w:type="dxa"/>
          </w:tcPr>
          <w:p w14:paraId="45E5B7CF" w14:textId="77777777" w:rsidR="00E00071" w:rsidRPr="006275A6" w:rsidRDefault="00E00071" w:rsidP="00CA07D8">
            <w:r>
              <w:rPr>
                <w:noProof/>
              </w:rPr>
              <w:drawing>
                <wp:inline distT="0" distB="0" distL="0" distR="0" wp14:anchorId="5F1E5EAD" wp14:editId="2B22EA71">
                  <wp:extent cx="412750" cy="412750"/>
                  <wp:effectExtent l="0" t="0" r="6350" b="0"/>
                  <wp:docPr id="293" name="Graphic 29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18C95B17" w14:textId="77777777" w:rsidR="00E00071" w:rsidRPr="006275A6" w:rsidRDefault="00E00071" w:rsidP="00CA07D8">
            <w:r>
              <w:rPr>
                <w:noProof/>
              </w:rPr>
              <w:drawing>
                <wp:inline distT="0" distB="0" distL="0" distR="0" wp14:anchorId="7588B17C" wp14:editId="180DEA58">
                  <wp:extent cx="412750" cy="412750"/>
                  <wp:effectExtent l="0" t="0" r="6350" b="0"/>
                  <wp:docPr id="294" name="Graphic 2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876" w:type="dxa"/>
          </w:tcPr>
          <w:p w14:paraId="7FB8417E" w14:textId="77777777" w:rsidR="00E00071" w:rsidRPr="006275A6" w:rsidRDefault="00E00071" w:rsidP="00CA07D8">
            <w:r>
              <w:rPr>
                <w:noProof/>
              </w:rPr>
              <w:drawing>
                <wp:inline distT="0" distB="0" distL="0" distR="0" wp14:anchorId="68E3F507" wp14:editId="0C3BFD31">
                  <wp:extent cx="412750" cy="412750"/>
                  <wp:effectExtent l="0" t="0" r="6350" b="0"/>
                  <wp:docPr id="295" name="Graphic 29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2750" cy="412750"/>
                          </a:xfrm>
                          <a:prstGeom prst="rect">
                            <a:avLst/>
                          </a:prstGeom>
                        </pic:spPr>
                      </pic:pic>
                    </a:graphicData>
                  </a:graphic>
                </wp:inline>
              </w:drawing>
            </w:r>
          </w:p>
        </w:tc>
        <w:tc>
          <w:tcPr>
            <w:tcW w:w="7267" w:type="dxa"/>
          </w:tcPr>
          <w:p w14:paraId="5AB56B32" w14:textId="77777777" w:rsidR="00E00071" w:rsidRPr="006275A6" w:rsidRDefault="00E00071" w:rsidP="00CA07D8">
            <w:r w:rsidRPr="00445F72">
              <w:rPr>
                <w:b/>
                <w:bCs/>
              </w:rPr>
              <w:t>Personal Emergency Response System (PERS)</w:t>
            </w:r>
            <w:r>
              <w:t xml:space="preserve"> is a service that monitors the individual’s safety in his/her </w:t>
            </w:r>
            <w:proofErr w:type="gramStart"/>
            <w:r>
              <w:t>home, and</w:t>
            </w:r>
            <w:proofErr w:type="gramEnd"/>
            <w:r>
              <w:t xml:space="preserve"> provides access to emergency assistance for medical or environmental emergencies through the provision of a two-way voice communication system that dials a 24-hour response or monitoring center upon activation and via the person’s home telephone system.</w:t>
            </w:r>
          </w:p>
        </w:tc>
      </w:tr>
    </w:tbl>
    <w:p w14:paraId="527FDAB4" w14:textId="77777777" w:rsidR="00E00071" w:rsidRDefault="00E00071"/>
    <w:sectPr w:rsidR="00E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71"/>
    <w:rsid w:val="0004686D"/>
    <w:rsid w:val="003C7559"/>
    <w:rsid w:val="00561791"/>
    <w:rsid w:val="006A0660"/>
    <w:rsid w:val="00C05A64"/>
    <w:rsid w:val="00CD13DB"/>
    <w:rsid w:val="00DA3503"/>
    <w:rsid w:val="00E0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A9DE"/>
  <w15:chartTrackingRefBased/>
  <w15:docId w15:val="{4C6902EA-1FC9-4913-A371-14D1576C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7159</Characters>
  <Application>Microsoft Office Word</Application>
  <DocSecurity>0</DocSecurity>
  <Lines>59</Lines>
  <Paragraphs>16</Paragraphs>
  <ScaleCrop>false</ScaleCrop>
  <Company>VITA</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Buzzee-Penfold, Patrick (DMAS)</dc:creator>
  <cp:keywords/>
  <dc:description/>
  <cp:lastModifiedBy>Thierry, Dana  (DMAS)</cp:lastModifiedBy>
  <cp:revision>2</cp:revision>
  <dcterms:created xsi:type="dcterms:W3CDTF">2023-03-29T15:34:00Z</dcterms:created>
  <dcterms:modified xsi:type="dcterms:W3CDTF">2023-03-29T15:34:00Z</dcterms:modified>
</cp:coreProperties>
</file>